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3943" w:rsidRDefault="00B3611D" w:rsidP="00EE21F2">
      <w:pPr>
        <w:pStyle w:val="1"/>
        <w:spacing w:before="0" w:after="0"/>
        <w:ind w:firstLineChars="0" w:firstLine="0"/>
        <w:jc w:val="center"/>
      </w:pPr>
      <w:bookmarkStart w:id="0" w:name="_Toc322717833"/>
      <w:r>
        <w:rPr>
          <w:rFonts w:hint="eastAsia"/>
        </w:rPr>
        <w:t>2</w:t>
      </w:r>
      <w:r>
        <w:t>01</w:t>
      </w:r>
      <w:r>
        <w:rPr>
          <w:rFonts w:hint="eastAsia"/>
        </w:rPr>
        <w:t>8</w:t>
      </w:r>
      <w:r>
        <w:t>年</w:t>
      </w:r>
      <w:r w:rsidR="00975A82">
        <w:rPr>
          <w:rFonts w:hint="eastAsia"/>
        </w:rPr>
        <w:t>生命科学与工程</w:t>
      </w:r>
      <w:r w:rsidR="005B3F37">
        <w:rPr>
          <w:rFonts w:hint="eastAsia"/>
        </w:rPr>
        <w:t>学院</w:t>
      </w:r>
      <w:r w:rsidR="00E03943" w:rsidRPr="0083342E">
        <w:rPr>
          <w:rFonts w:hint="eastAsia"/>
        </w:rPr>
        <w:t>本科生转专业</w:t>
      </w:r>
      <w:bookmarkEnd w:id="0"/>
      <w:r w:rsidR="00B262E7">
        <w:rPr>
          <w:rFonts w:hint="eastAsia"/>
        </w:rPr>
        <w:t>实施细则</w:t>
      </w:r>
    </w:p>
    <w:p w:rsidR="00E03943" w:rsidRDefault="0084788A" w:rsidP="00E03943">
      <w:pPr>
        <w:pStyle w:val="a"/>
        <w:numPr>
          <w:ilvl w:val="0"/>
          <w:numId w:val="1"/>
        </w:numPr>
        <w:ind w:left="151" w:hangingChars="50" w:hanging="151"/>
      </w:pPr>
      <w:r w:rsidRPr="0088445D">
        <w:rPr>
          <w:rFonts w:hint="eastAsia"/>
        </w:rPr>
        <w:t>转专业工作领导小组</w:t>
      </w:r>
    </w:p>
    <w:p w:rsidR="0084788A" w:rsidRPr="0084788A" w:rsidRDefault="0084788A" w:rsidP="0084788A">
      <w:pPr>
        <w:ind w:firstLine="480"/>
        <w:rPr>
          <w:szCs w:val="24"/>
        </w:rPr>
      </w:pPr>
      <w:r w:rsidRPr="0084788A">
        <w:rPr>
          <w:rFonts w:hint="eastAsia"/>
          <w:szCs w:val="24"/>
        </w:rPr>
        <w:t>组长：</w:t>
      </w:r>
      <w:r w:rsidR="00263E92">
        <w:rPr>
          <w:rFonts w:hint="eastAsia"/>
          <w:szCs w:val="24"/>
        </w:rPr>
        <w:t>李卫东</w:t>
      </w:r>
      <w:r w:rsidR="005B3F37" w:rsidRPr="0084788A">
        <w:rPr>
          <w:szCs w:val="24"/>
        </w:rPr>
        <w:t xml:space="preserve"> </w:t>
      </w:r>
    </w:p>
    <w:p w:rsidR="005B3F37" w:rsidRDefault="0084788A" w:rsidP="0084788A">
      <w:pPr>
        <w:ind w:firstLine="480"/>
        <w:rPr>
          <w:szCs w:val="24"/>
        </w:rPr>
      </w:pPr>
      <w:r w:rsidRPr="0084788A">
        <w:rPr>
          <w:rFonts w:hint="eastAsia"/>
          <w:szCs w:val="24"/>
        </w:rPr>
        <w:t>成员：</w:t>
      </w:r>
      <w:r w:rsidR="00975A82">
        <w:rPr>
          <w:rFonts w:hint="eastAsia"/>
        </w:rPr>
        <w:t>李遂焰、罗妍妍、</w:t>
      </w:r>
      <w:r w:rsidR="00FC68BC">
        <w:rPr>
          <w:rFonts w:hint="eastAsia"/>
        </w:rPr>
        <w:t>闫智勇、</w:t>
      </w:r>
      <w:r w:rsidR="00263E92">
        <w:rPr>
          <w:rFonts w:hint="eastAsia"/>
        </w:rPr>
        <w:t>封顺、</w:t>
      </w:r>
      <w:r w:rsidR="00975A82">
        <w:rPr>
          <w:rFonts w:hint="eastAsia"/>
        </w:rPr>
        <w:t>喻凯、陆群</w:t>
      </w:r>
      <w:r w:rsidR="00FC68BC">
        <w:rPr>
          <w:rFonts w:hint="eastAsia"/>
        </w:rPr>
        <w:t>、蒋合众</w:t>
      </w:r>
    </w:p>
    <w:p w:rsidR="00E03943" w:rsidRDefault="0084788A" w:rsidP="0084788A">
      <w:pPr>
        <w:ind w:firstLine="480"/>
        <w:rPr>
          <w:szCs w:val="24"/>
        </w:rPr>
      </w:pPr>
      <w:r w:rsidRPr="0084788A">
        <w:rPr>
          <w:rFonts w:hint="eastAsia"/>
          <w:szCs w:val="24"/>
        </w:rPr>
        <w:t>秘书：</w:t>
      </w:r>
      <w:r w:rsidR="00263E92">
        <w:rPr>
          <w:rFonts w:hint="eastAsia"/>
          <w:szCs w:val="24"/>
        </w:rPr>
        <w:t>张敬文</w:t>
      </w:r>
      <w:r w:rsidR="005B3F37">
        <w:rPr>
          <w:szCs w:val="24"/>
        </w:rPr>
        <w:t xml:space="preserve"> </w:t>
      </w:r>
    </w:p>
    <w:p w:rsidR="0084788A" w:rsidRDefault="0084788A" w:rsidP="0084788A">
      <w:pPr>
        <w:pStyle w:val="a"/>
        <w:numPr>
          <w:ilvl w:val="0"/>
          <w:numId w:val="1"/>
        </w:numPr>
      </w:pPr>
      <w:r w:rsidRPr="0084788A">
        <w:rPr>
          <w:rFonts w:hint="eastAsia"/>
        </w:rPr>
        <w:t>学院大类内</w:t>
      </w:r>
      <w:r w:rsidR="005B3F37">
        <w:rPr>
          <w:rFonts w:hint="eastAsia"/>
        </w:rPr>
        <w:t>专业分流</w:t>
      </w:r>
      <w:r>
        <w:rPr>
          <w:rFonts w:hint="eastAsia"/>
        </w:rPr>
        <w:t>实施</w:t>
      </w:r>
      <w:r>
        <w:t>细则</w:t>
      </w:r>
    </w:p>
    <w:p w:rsidR="00FC68BC" w:rsidRPr="00FC68BC" w:rsidRDefault="00FC68BC" w:rsidP="00FC68BC">
      <w:pPr>
        <w:ind w:firstLineChars="150" w:firstLine="360"/>
        <w:rPr>
          <w:szCs w:val="24"/>
        </w:rPr>
      </w:pPr>
      <w:r w:rsidRPr="00FC68BC">
        <w:rPr>
          <w:rFonts w:hint="eastAsia"/>
          <w:szCs w:val="24"/>
        </w:rPr>
        <w:t>生命科学与工程学院按照“优先满足个人志愿，结合学生学习情况和学校教学资源实际”的原则开展生物工程、制药工程大类专业方向选择工作，具体规定如下。</w:t>
      </w:r>
      <w:r w:rsidRPr="00FC68BC">
        <w:rPr>
          <w:rFonts w:hint="eastAsia"/>
          <w:szCs w:val="24"/>
        </w:rPr>
        <w:t xml:space="preserve"> </w:t>
      </w:r>
    </w:p>
    <w:p w:rsidR="00FC68BC" w:rsidRPr="00FC68BC" w:rsidRDefault="00FC68BC" w:rsidP="00FC68BC">
      <w:pPr>
        <w:pStyle w:val="a6"/>
        <w:ind w:left="420" w:firstLineChars="0" w:firstLine="0"/>
        <w:rPr>
          <w:szCs w:val="24"/>
        </w:rPr>
      </w:pPr>
      <w:r w:rsidRPr="00FC68BC">
        <w:rPr>
          <w:rFonts w:hint="eastAsia"/>
          <w:szCs w:val="24"/>
        </w:rPr>
        <w:t>1</w:t>
      </w:r>
      <w:r w:rsidRPr="00FC68BC">
        <w:rPr>
          <w:rFonts w:hint="eastAsia"/>
          <w:szCs w:val="24"/>
        </w:rPr>
        <w:t>、大类专业方向选择工作由学院统一组织，安排在第三、四学期进行。</w:t>
      </w:r>
    </w:p>
    <w:p w:rsidR="00FC68BC" w:rsidRPr="00FC68BC" w:rsidRDefault="00FC68BC" w:rsidP="00FC68BC">
      <w:pPr>
        <w:pStyle w:val="a6"/>
        <w:ind w:left="420" w:firstLineChars="0" w:firstLine="0"/>
        <w:rPr>
          <w:szCs w:val="24"/>
        </w:rPr>
      </w:pPr>
      <w:r w:rsidRPr="00FC68BC">
        <w:rPr>
          <w:rFonts w:hint="eastAsia"/>
          <w:szCs w:val="24"/>
        </w:rPr>
        <w:t>2</w:t>
      </w:r>
      <w:r w:rsidRPr="00FC68BC">
        <w:rPr>
          <w:rFonts w:hint="eastAsia"/>
          <w:szCs w:val="24"/>
        </w:rPr>
        <w:t>、生物工程、制药工程专业的每位学生必须选择一个专业方向（简称第一专业方向），并填写专业方向申请表。</w:t>
      </w:r>
    </w:p>
    <w:p w:rsidR="00FC68BC" w:rsidRPr="00FC68BC" w:rsidRDefault="00FC68BC" w:rsidP="00FC68BC">
      <w:pPr>
        <w:pStyle w:val="a6"/>
        <w:ind w:left="420" w:firstLineChars="0" w:firstLine="0"/>
        <w:rPr>
          <w:szCs w:val="24"/>
        </w:rPr>
      </w:pPr>
      <w:r w:rsidRPr="00FC68BC">
        <w:rPr>
          <w:rFonts w:hint="eastAsia"/>
          <w:szCs w:val="24"/>
        </w:rPr>
        <w:t>3</w:t>
      </w:r>
      <w:r w:rsidRPr="00FC68BC">
        <w:rPr>
          <w:rFonts w:hint="eastAsia"/>
          <w:szCs w:val="24"/>
        </w:rPr>
        <w:t>、专业方向的选择遵从志愿优先的原则，但是由于学校教学资源的有限性，如果选择某一专业方向的学生人数大大超出学校教学资源能够接收的范围，学院按照第</w:t>
      </w:r>
      <w:r w:rsidRPr="00FC68BC">
        <w:rPr>
          <w:rFonts w:hint="eastAsia"/>
          <w:szCs w:val="24"/>
        </w:rPr>
        <w:t>1~</w:t>
      </w:r>
      <w:r w:rsidRPr="00FC68BC">
        <w:rPr>
          <w:rFonts w:hint="eastAsia"/>
          <w:szCs w:val="24"/>
        </w:rPr>
        <w:t>第</w:t>
      </w:r>
      <w:r w:rsidRPr="00FC68BC">
        <w:rPr>
          <w:rFonts w:hint="eastAsia"/>
          <w:szCs w:val="24"/>
        </w:rPr>
        <w:t>3</w:t>
      </w:r>
      <w:r w:rsidRPr="00FC68BC">
        <w:rPr>
          <w:rFonts w:hint="eastAsia"/>
          <w:szCs w:val="24"/>
        </w:rPr>
        <w:t>学期的综合成绩情况对学生的专业方向做出适当调整。</w:t>
      </w:r>
    </w:p>
    <w:p w:rsidR="00FC68BC" w:rsidRPr="00FC68BC" w:rsidRDefault="00FC68BC" w:rsidP="00FC68BC">
      <w:pPr>
        <w:pStyle w:val="a6"/>
        <w:ind w:left="420" w:firstLineChars="0" w:firstLine="0"/>
        <w:rPr>
          <w:szCs w:val="24"/>
        </w:rPr>
      </w:pPr>
      <w:r w:rsidRPr="00FC68BC">
        <w:rPr>
          <w:rFonts w:hint="eastAsia"/>
          <w:szCs w:val="24"/>
        </w:rPr>
        <w:t>4</w:t>
      </w:r>
      <w:r w:rsidRPr="00FC68BC">
        <w:rPr>
          <w:rFonts w:hint="eastAsia"/>
          <w:szCs w:val="24"/>
        </w:rPr>
        <w:t>、生物工程专业下设三个专业方向，学生申请时需填写第一志愿方向和第二志愿方向。按照学生人数及学校教学资源能接收的范围，原则上进行如下分配（总比例不超过</w:t>
      </w:r>
      <w:r w:rsidRPr="00FC68BC">
        <w:rPr>
          <w:rFonts w:hint="eastAsia"/>
          <w:szCs w:val="24"/>
        </w:rPr>
        <w:t>100%</w:t>
      </w:r>
      <w:r w:rsidRPr="00FC68BC">
        <w:rPr>
          <w:rFonts w:hint="eastAsia"/>
          <w:szCs w:val="24"/>
        </w:rPr>
        <w:t>）：</w:t>
      </w:r>
    </w:p>
    <w:p w:rsidR="00FC68BC" w:rsidRPr="00FC68BC" w:rsidRDefault="00FC68BC" w:rsidP="00FC68BC">
      <w:pPr>
        <w:pStyle w:val="a6"/>
        <w:ind w:left="420" w:firstLineChars="0" w:firstLine="0"/>
        <w:rPr>
          <w:szCs w:val="24"/>
        </w:rPr>
      </w:pPr>
      <w:r w:rsidRPr="00FC68BC">
        <w:rPr>
          <w:rFonts w:hint="eastAsia"/>
          <w:szCs w:val="24"/>
        </w:rPr>
        <w:t>（</w:t>
      </w:r>
      <w:r w:rsidRPr="00FC68BC">
        <w:rPr>
          <w:rFonts w:hint="eastAsia"/>
          <w:szCs w:val="24"/>
        </w:rPr>
        <w:t>1</w:t>
      </w:r>
      <w:r w:rsidRPr="00FC68BC">
        <w:rPr>
          <w:rFonts w:hint="eastAsia"/>
          <w:szCs w:val="24"/>
        </w:rPr>
        <w:t>）生物工程制药方向原则上占专业总人数的</w:t>
      </w:r>
      <w:r w:rsidRPr="00FC68BC">
        <w:rPr>
          <w:rFonts w:hint="eastAsia"/>
          <w:szCs w:val="24"/>
        </w:rPr>
        <w:t>35%~40%</w:t>
      </w:r>
      <w:r w:rsidRPr="00FC68BC">
        <w:rPr>
          <w:rFonts w:hint="eastAsia"/>
          <w:szCs w:val="24"/>
        </w:rPr>
        <w:t>，为尽最大可能地满足学生意愿，该专业原则上最大接收学生人数为</w:t>
      </w:r>
      <w:r w:rsidRPr="00FC68BC">
        <w:rPr>
          <w:rFonts w:hint="eastAsia"/>
          <w:szCs w:val="24"/>
        </w:rPr>
        <w:t>50</w:t>
      </w:r>
      <w:r w:rsidRPr="00FC68BC">
        <w:rPr>
          <w:rFonts w:hint="eastAsia"/>
          <w:szCs w:val="24"/>
        </w:rPr>
        <w:t>人；</w:t>
      </w:r>
    </w:p>
    <w:p w:rsidR="00FC68BC" w:rsidRPr="00FC68BC" w:rsidRDefault="00FC68BC" w:rsidP="00FC68BC">
      <w:pPr>
        <w:pStyle w:val="a6"/>
        <w:ind w:left="420" w:firstLineChars="0" w:firstLine="0"/>
        <w:rPr>
          <w:szCs w:val="24"/>
        </w:rPr>
      </w:pPr>
      <w:r w:rsidRPr="00FC68BC">
        <w:rPr>
          <w:rFonts w:hint="eastAsia"/>
          <w:szCs w:val="24"/>
        </w:rPr>
        <w:t>（</w:t>
      </w:r>
      <w:r w:rsidRPr="00FC68BC">
        <w:rPr>
          <w:rFonts w:hint="eastAsia"/>
          <w:szCs w:val="24"/>
        </w:rPr>
        <w:t>2</w:t>
      </w:r>
      <w:r w:rsidRPr="00FC68BC">
        <w:rPr>
          <w:rFonts w:hint="eastAsia"/>
          <w:szCs w:val="24"/>
        </w:rPr>
        <w:t>）生物学方向原则上占专业总人数的</w:t>
      </w:r>
      <w:r w:rsidRPr="00FC68BC">
        <w:rPr>
          <w:rFonts w:hint="eastAsia"/>
          <w:szCs w:val="24"/>
        </w:rPr>
        <w:t>35%~40%</w:t>
      </w:r>
      <w:r w:rsidRPr="00FC68BC">
        <w:rPr>
          <w:rFonts w:hint="eastAsia"/>
          <w:szCs w:val="24"/>
        </w:rPr>
        <w:t>，为尽最大可能地满足学生意愿，该专业原则上最大接收学生人数为</w:t>
      </w:r>
      <w:r w:rsidRPr="00FC68BC">
        <w:rPr>
          <w:rFonts w:hint="eastAsia"/>
          <w:szCs w:val="24"/>
        </w:rPr>
        <w:t>50</w:t>
      </w:r>
      <w:r w:rsidRPr="00FC68BC">
        <w:rPr>
          <w:rFonts w:hint="eastAsia"/>
          <w:szCs w:val="24"/>
        </w:rPr>
        <w:t>人；</w:t>
      </w:r>
    </w:p>
    <w:p w:rsidR="00FC68BC" w:rsidRPr="00FC68BC" w:rsidRDefault="00FC68BC" w:rsidP="00FC68BC">
      <w:pPr>
        <w:pStyle w:val="a6"/>
        <w:ind w:left="420" w:firstLineChars="0" w:firstLine="0"/>
        <w:rPr>
          <w:szCs w:val="24"/>
        </w:rPr>
      </w:pPr>
      <w:r w:rsidRPr="00FC68BC">
        <w:rPr>
          <w:rFonts w:hint="eastAsia"/>
          <w:szCs w:val="24"/>
        </w:rPr>
        <w:t>（</w:t>
      </w:r>
      <w:r w:rsidRPr="00FC68BC">
        <w:rPr>
          <w:rFonts w:hint="eastAsia"/>
          <w:szCs w:val="24"/>
        </w:rPr>
        <w:t>3</w:t>
      </w:r>
      <w:r w:rsidRPr="00FC68BC">
        <w:rPr>
          <w:rFonts w:hint="eastAsia"/>
          <w:szCs w:val="24"/>
        </w:rPr>
        <w:t>）生物信息技术方向原则上占专业总人数的</w:t>
      </w:r>
      <w:r w:rsidRPr="00FC68BC">
        <w:rPr>
          <w:rFonts w:hint="eastAsia"/>
          <w:szCs w:val="24"/>
        </w:rPr>
        <w:t>20%~30%</w:t>
      </w:r>
      <w:r w:rsidRPr="00FC68BC">
        <w:rPr>
          <w:rFonts w:hint="eastAsia"/>
          <w:szCs w:val="24"/>
        </w:rPr>
        <w:t>，为尽最大可能地满足学生意愿，该专业原则上最大接收学生人数为</w:t>
      </w:r>
      <w:r w:rsidRPr="00FC68BC">
        <w:rPr>
          <w:rFonts w:hint="eastAsia"/>
          <w:szCs w:val="24"/>
        </w:rPr>
        <w:t>40</w:t>
      </w:r>
      <w:r w:rsidRPr="00FC68BC">
        <w:rPr>
          <w:rFonts w:hint="eastAsia"/>
          <w:szCs w:val="24"/>
        </w:rPr>
        <w:t>人。</w:t>
      </w:r>
    </w:p>
    <w:p w:rsidR="00FC68BC" w:rsidRPr="00FC68BC" w:rsidRDefault="00FC68BC" w:rsidP="00FC68BC">
      <w:pPr>
        <w:pStyle w:val="a6"/>
        <w:ind w:left="420" w:firstLineChars="0" w:firstLine="0"/>
        <w:rPr>
          <w:szCs w:val="24"/>
        </w:rPr>
      </w:pPr>
      <w:r w:rsidRPr="00FC68BC">
        <w:rPr>
          <w:rFonts w:hint="eastAsia"/>
          <w:szCs w:val="24"/>
        </w:rPr>
        <w:t>5</w:t>
      </w:r>
      <w:r w:rsidRPr="00FC68BC">
        <w:rPr>
          <w:rFonts w:hint="eastAsia"/>
          <w:szCs w:val="24"/>
        </w:rPr>
        <w:t>、制药工程专业下设两个专业方向，学生申请时只需填写第一志愿方向。</w:t>
      </w:r>
      <w:r w:rsidRPr="00FC68BC">
        <w:rPr>
          <w:rFonts w:hint="eastAsia"/>
          <w:szCs w:val="24"/>
        </w:rPr>
        <w:lastRenderedPageBreak/>
        <w:t>按照学生人数及学校教学资源能接收的范围，进行如下分配：</w:t>
      </w:r>
    </w:p>
    <w:p w:rsidR="00FC68BC" w:rsidRPr="00FC68BC" w:rsidRDefault="00FC68BC" w:rsidP="00FC68BC">
      <w:pPr>
        <w:pStyle w:val="a6"/>
        <w:ind w:left="420" w:firstLineChars="0" w:firstLine="0"/>
        <w:rPr>
          <w:szCs w:val="24"/>
        </w:rPr>
      </w:pPr>
      <w:r w:rsidRPr="00FC68BC">
        <w:rPr>
          <w:rFonts w:hint="eastAsia"/>
          <w:szCs w:val="24"/>
        </w:rPr>
        <w:t>（</w:t>
      </w:r>
      <w:r w:rsidRPr="00FC68BC">
        <w:rPr>
          <w:rFonts w:hint="eastAsia"/>
          <w:szCs w:val="24"/>
        </w:rPr>
        <w:t>1</w:t>
      </w:r>
      <w:r w:rsidRPr="00FC68BC">
        <w:rPr>
          <w:rFonts w:hint="eastAsia"/>
          <w:szCs w:val="24"/>
        </w:rPr>
        <w:t>）化学制药专业方向原则上占专业总人数的</w:t>
      </w:r>
      <w:r w:rsidRPr="00FC68BC">
        <w:rPr>
          <w:rFonts w:hint="eastAsia"/>
          <w:szCs w:val="24"/>
        </w:rPr>
        <w:t>50%</w:t>
      </w:r>
      <w:r w:rsidRPr="00FC68BC">
        <w:rPr>
          <w:rFonts w:hint="eastAsia"/>
          <w:szCs w:val="24"/>
        </w:rPr>
        <w:t>，为尽最大可能地满足学生意愿，该专业最大接收学生人数为</w:t>
      </w:r>
      <w:r w:rsidRPr="00FC68BC">
        <w:rPr>
          <w:rFonts w:hint="eastAsia"/>
          <w:szCs w:val="24"/>
        </w:rPr>
        <w:t>60</w:t>
      </w:r>
      <w:r w:rsidRPr="00FC68BC">
        <w:rPr>
          <w:rFonts w:hint="eastAsia"/>
          <w:szCs w:val="24"/>
        </w:rPr>
        <w:t>人；</w:t>
      </w:r>
    </w:p>
    <w:p w:rsidR="00FC68BC" w:rsidRPr="00FC68BC" w:rsidRDefault="00FC68BC" w:rsidP="00FC68BC">
      <w:pPr>
        <w:pStyle w:val="a6"/>
        <w:ind w:left="420" w:firstLineChars="0" w:firstLine="0"/>
        <w:rPr>
          <w:szCs w:val="24"/>
        </w:rPr>
      </w:pPr>
      <w:r w:rsidRPr="00FC68BC">
        <w:rPr>
          <w:rFonts w:hint="eastAsia"/>
          <w:szCs w:val="24"/>
        </w:rPr>
        <w:t>（</w:t>
      </w:r>
      <w:r w:rsidRPr="00FC68BC">
        <w:rPr>
          <w:rFonts w:hint="eastAsia"/>
          <w:szCs w:val="24"/>
        </w:rPr>
        <w:t>2</w:t>
      </w:r>
      <w:r w:rsidRPr="00FC68BC">
        <w:rPr>
          <w:rFonts w:hint="eastAsia"/>
          <w:szCs w:val="24"/>
        </w:rPr>
        <w:t>）中药制药专业方向原则上占专业总人数的</w:t>
      </w:r>
      <w:r w:rsidRPr="00FC68BC">
        <w:rPr>
          <w:rFonts w:hint="eastAsia"/>
          <w:szCs w:val="24"/>
        </w:rPr>
        <w:t>50%</w:t>
      </w:r>
      <w:r w:rsidRPr="00FC68BC">
        <w:rPr>
          <w:rFonts w:hint="eastAsia"/>
          <w:szCs w:val="24"/>
        </w:rPr>
        <w:t>，为尽最大可能地满足学生意愿，该专业最大接收学生人数为</w:t>
      </w:r>
      <w:r w:rsidRPr="00FC68BC">
        <w:rPr>
          <w:rFonts w:hint="eastAsia"/>
          <w:szCs w:val="24"/>
        </w:rPr>
        <w:t>60</w:t>
      </w:r>
      <w:r w:rsidRPr="00FC68BC">
        <w:rPr>
          <w:rFonts w:hint="eastAsia"/>
          <w:szCs w:val="24"/>
        </w:rPr>
        <w:t>人。</w:t>
      </w:r>
    </w:p>
    <w:p w:rsidR="00FC68BC" w:rsidRDefault="00FC68BC" w:rsidP="00FC68BC">
      <w:pPr>
        <w:pStyle w:val="a6"/>
        <w:ind w:left="420" w:firstLineChars="0" w:firstLine="0"/>
      </w:pPr>
      <w:r w:rsidRPr="00FC68BC">
        <w:rPr>
          <w:rFonts w:hint="eastAsia"/>
          <w:szCs w:val="24"/>
        </w:rPr>
        <w:t>6</w:t>
      </w:r>
      <w:r w:rsidRPr="00FC68BC">
        <w:rPr>
          <w:rFonts w:hint="eastAsia"/>
          <w:szCs w:val="24"/>
        </w:rPr>
        <w:t>、为了鼓励学生拓展知识面，学生可以选择第二专业方向进行学习，所选课程学分按降级原则可以计为限选、选修课学分，即第二专业方向的必修课程可以作为第一专业的限选课程或选修课程。同时此第二专业方向还可填写在就业生推荐表上（毕业证上只有专业名称，不体现专业方向）。</w:t>
      </w:r>
    </w:p>
    <w:p w:rsidR="00E03943" w:rsidRDefault="0084788A" w:rsidP="0084788A">
      <w:pPr>
        <w:pStyle w:val="a"/>
        <w:numPr>
          <w:ilvl w:val="0"/>
          <w:numId w:val="1"/>
        </w:numPr>
      </w:pPr>
      <w:r w:rsidRPr="0084788A">
        <w:rPr>
          <w:rFonts w:hint="eastAsia"/>
        </w:rPr>
        <w:t>转专业实施细则</w:t>
      </w:r>
    </w:p>
    <w:p w:rsidR="00FC68BC" w:rsidRDefault="00FC68BC" w:rsidP="00FC68BC">
      <w:pPr>
        <w:pStyle w:val="a6"/>
        <w:ind w:left="420" w:firstLineChars="0" w:firstLine="0"/>
      </w:pPr>
      <w:r>
        <w:rPr>
          <w:rFonts w:hint="eastAsia"/>
        </w:rPr>
        <w:t>1</w:t>
      </w:r>
      <w:r>
        <w:rPr>
          <w:rFonts w:hint="eastAsia"/>
        </w:rPr>
        <w:t>、专业要求</w:t>
      </w:r>
    </w:p>
    <w:p w:rsidR="00FC68BC" w:rsidRDefault="00497408" w:rsidP="00FC68BC">
      <w:pPr>
        <w:ind w:firstLineChars="0" w:firstLine="480"/>
        <w:rPr>
          <w:rFonts w:ascii="宋体" w:hAnsi="宋体" w:cs="Calibri"/>
          <w:color w:val="000000"/>
          <w:kern w:val="0"/>
          <w:szCs w:val="24"/>
        </w:rPr>
      </w:pPr>
      <w:r>
        <w:rPr>
          <w:rFonts w:ascii="宋体" w:hAnsi="宋体" w:cs="Calibri" w:hint="eastAsia"/>
          <w:color w:val="000000"/>
          <w:kern w:val="0"/>
          <w:szCs w:val="24"/>
        </w:rPr>
        <w:t>（1）</w:t>
      </w:r>
      <w:r w:rsidR="00FC68BC" w:rsidRPr="00FC68BC">
        <w:rPr>
          <w:rFonts w:ascii="宋体" w:hAnsi="宋体" w:cs="Calibri" w:hint="eastAsia"/>
          <w:color w:val="000000"/>
          <w:kern w:val="0"/>
          <w:szCs w:val="24"/>
        </w:rPr>
        <w:t>热爱并有志从事生命科学及相关领域学习和研究的一年级、二年级本科生，限理工科。</w:t>
      </w:r>
    </w:p>
    <w:p w:rsidR="00497408" w:rsidRPr="00FC68BC" w:rsidRDefault="00497408" w:rsidP="00FC68BC">
      <w:pPr>
        <w:ind w:firstLineChars="0" w:firstLine="480"/>
        <w:rPr>
          <w:rFonts w:ascii="宋体" w:hAnsi="宋体" w:cs="Calibri"/>
          <w:color w:val="000000"/>
          <w:kern w:val="0"/>
          <w:szCs w:val="24"/>
        </w:rPr>
      </w:pPr>
      <w:r>
        <w:rPr>
          <w:rFonts w:ascii="宋体" w:hAnsi="宋体" w:cs="Calibri" w:hint="eastAsia"/>
          <w:color w:val="000000"/>
          <w:kern w:val="0"/>
          <w:szCs w:val="24"/>
        </w:rPr>
        <w:t>（2）</w:t>
      </w:r>
      <w:r w:rsidRPr="00497408">
        <w:rPr>
          <w:rFonts w:ascii="宋体" w:hAnsi="宋体" w:cs="Calibri" w:hint="eastAsia"/>
          <w:color w:val="000000"/>
          <w:kern w:val="0"/>
          <w:szCs w:val="24"/>
        </w:rPr>
        <w:t>生物工程类（中外合作办学）高考英语成绩达到满分的75%以上。</w:t>
      </w:r>
    </w:p>
    <w:p w:rsidR="00FC68BC" w:rsidRDefault="00FC68BC" w:rsidP="00FC68BC">
      <w:pPr>
        <w:pStyle w:val="a6"/>
        <w:ind w:left="420" w:firstLineChars="0" w:firstLine="0"/>
      </w:pPr>
      <w:r>
        <w:rPr>
          <w:rFonts w:hint="eastAsia"/>
        </w:rPr>
        <w:t>2</w:t>
      </w:r>
      <w:r>
        <w:rPr>
          <w:rFonts w:hint="eastAsia"/>
        </w:rPr>
        <w:t>、考核实施办法</w:t>
      </w:r>
    </w:p>
    <w:p w:rsidR="00FC68BC" w:rsidRDefault="00FC68BC" w:rsidP="00FC68BC">
      <w:pPr>
        <w:pStyle w:val="a6"/>
        <w:ind w:left="420" w:firstLineChars="0" w:firstLine="0"/>
      </w:pPr>
      <w:r>
        <w:rPr>
          <w:rFonts w:hint="eastAsia"/>
        </w:rPr>
        <w:t>考核办法（含考核方式</w:t>
      </w:r>
      <w:r>
        <w:t>、考核</w:t>
      </w:r>
      <w:r>
        <w:rPr>
          <w:rFonts w:hint="eastAsia"/>
        </w:rPr>
        <w:t>内容、时间安排及地点）</w:t>
      </w:r>
    </w:p>
    <w:p w:rsidR="00FC68BC" w:rsidRDefault="00FC68BC" w:rsidP="00FC68BC">
      <w:pPr>
        <w:pStyle w:val="a6"/>
        <w:ind w:left="420" w:firstLineChars="0" w:firstLine="0"/>
      </w:pPr>
      <w:r>
        <w:rPr>
          <w:rFonts w:hint="eastAsia"/>
        </w:rPr>
        <w:t>考核方式：</w:t>
      </w:r>
      <w:r w:rsidR="00497408">
        <w:rPr>
          <w:rFonts w:hint="eastAsia"/>
        </w:rPr>
        <w:t>材料审核、组织</w:t>
      </w:r>
      <w:r>
        <w:rPr>
          <w:rFonts w:hint="eastAsia"/>
        </w:rPr>
        <w:t>面试</w:t>
      </w:r>
      <w:r w:rsidR="00497408">
        <w:rPr>
          <w:rFonts w:hint="eastAsia"/>
        </w:rPr>
        <w:t>、专家评审</w:t>
      </w:r>
    </w:p>
    <w:p w:rsidR="00FC68BC" w:rsidRDefault="00FC68BC" w:rsidP="00FC68BC">
      <w:pPr>
        <w:pStyle w:val="a6"/>
        <w:ind w:left="420" w:firstLineChars="0" w:firstLine="0"/>
      </w:pPr>
      <w:r>
        <w:rPr>
          <w:rFonts w:hint="eastAsia"/>
        </w:rPr>
        <w:t>考核内容：专业认识、学习情况</w:t>
      </w:r>
    </w:p>
    <w:p w:rsidR="00FC68BC" w:rsidRDefault="00FC68BC" w:rsidP="00FC68BC">
      <w:pPr>
        <w:pStyle w:val="a6"/>
        <w:ind w:left="420" w:firstLineChars="0" w:firstLine="0"/>
      </w:pPr>
      <w:r>
        <w:rPr>
          <w:rFonts w:hint="eastAsia"/>
        </w:rPr>
        <w:t>时间：待定</w:t>
      </w:r>
    </w:p>
    <w:p w:rsidR="00FC68BC" w:rsidRDefault="00FC68BC" w:rsidP="00FC68BC">
      <w:pPr>
        <w:pStyle w:val="a6"/>
        <w:ind w:left="420" w:firstLineChars="0" w:firstLine="0"/>
      </w:pPr>
      <w:r>
        <w:rPr>
          <w:rFonts w:hint="eastAsia"/>
        </w:rPr>
        <w:t>地点：</w:t>
      </w:r>
      <w:r w:rsidR="00545554">
        <w:rPr>
          <w:rFonts w:hint="eastAsia"/>
        </w:rPr>
        <w:t>X6502</w:t>
      </w:r>
    </w:p>
    <w:p w:rsidR="00FC68BC" w:rsidRDefault="00FC68BC" w:rsidP="00FC68BC">
      <w:pPr>
        <w:pStyle w:val="a6"/>
        <w:ind w:left="420" w:firstLineChars="0" w:firstLine="0"/>
      </w:pPr>
      <w:r>
        <w:rPr>
          <w:rFonts w:hint="eastAsia"/>
        </w:rPr>
        <w:t>3</w:t>
      </w:r>
      <w:r>
        <w:rPr>
          <w:rFonts w:hint="eastAsia"/>
        </w:rPr>
        <w:t>、计划录取名额</w:t>
      </w:r>
    </w:p>
    <w:p w:rsidR="00FC68BC" w:rsidRPr="00FC68BC" w:rsidRDefault="00FC68BC" w:rsidP="00FC68BC">
      <w:pPr>
        <w:pStyle w:val="a6"/>
        <w:ind w:left="420" w:firstLineChars="0" w:firstLine="0"/>
        <w:rPr>
          <w:szCs w:val="24"/>
        </w:rPr>
      </w:pPr>
      <w:r w:rsidRPr="00FC68BC">
        <w:rPr>
          <w:rFonts w:hint="eastAsia"/>
          <w:szCs w:val="24"/>
        </w:rPr>
        <w:t>生命科学与工程学院学院转专业计划录取总数为：</w:t>
      </w:r>
      <w:r>
        <w:rPr>
          <w:rFonts w:hint="eastAsia"/>
          <w:szCs w:val="24"/>
        </w:rPr>
        <w:t>28</w:t>
      </w:r>
      <w:r w:rsidRPr="00FC68BC">
        <w:rPr>
          <w:rFonts w:hint="eastAsia"/>
          <w:szCs w:val="24"/>
        </w:rPr>
        <w:t>名。</w:t>
      </w:r>
    </w:p>
    <w:p w:rsidR="00FC68BC" w:rsidRPr="00FC68BC" w:rsidRDefault="00FC68BC" w:rsidP="00FC68BC">
      <w:pPr>
        <w:pStyle w:val="a6"/>
        <w:ind w:left="420" w:firstLineChars="0" w:firstLine="0"/>
        <w:rPr>
          <w:szCs w:val="24"/>
        </w:rPr>
      </w:pPr>
      <w:r w:rsidRPr="00FC68BC">
        <w:rPr>
          <w:rFonts w:hint="eastAsia"/>
          <w:szCs w:val="24"/>
        </w:rPr>
        <w:t>（</w:t>
      </w:r>
      <w:r w:rsidRPr="00FC68BC">
        <w:rPr>
          <w:rFonts w:hint="eastAsia"/>
          <w:szCs w:val="24"/>
        </w:rPr>
        <w:t>1</w:t>
      </w:r>
      <w:r w:rsidRPr="00FC68BC">
        <w:rPr>
          <w:rFonts w:hint="eastAsia"/>
          <w:szCs w:val="24"/>
        </w:rPr>
        <w:t>）生物工程专业：</w:t>
      </w:r>
      <w:r w:rsidRPr="00FC68BC">
        <w:rPr>
          <w:rFonts w:hint="eastAsia"/>
          <w:szCs w:val="24"/>
        </w:rPr>
        <w:t>10</w:t>
      </w:r>
      <w:r w:rsidRPr="00FC68BC">
        <w:rPr>
          <w:rFonts w:hint="eastAsia"/>
          <w:szCs w:val="24"/>
        </w:rPr>
        <w:t>名</w:t>
      </w:r>
    </w:p>
    <w:p w:rsidR="005B3F37" w:rsidRPr="00FC68BC" w:rsidRDefault="00FC68BC" w:rsidP="00FC68BC">
      <w:pPr>
        <w:pStyle w:val="a6"/>
        <w:ind w:left="420" w:firstLineChars="0" w:firstLine="0"/>
        <w:rPr>
          <w:color w:val="7030A0"/>
        </w:rPr>
      </w:pPr>
      <w:r w:rsidRPr="00FC68BC">
        <w:rPr>
          <w:rFonts w:hint="eastAsia"/>
          <w:szCs w:val="24"/>
        </w:rPr>
        <w:t>（</w:t>
      </w:r>
      <w:r w:rsidRPr="00FC68BC">
        <w:rPr>
          <w:rFonts w:hint="eastAsia"/>
          <w:szCs w:val="24"/>
        </w:rPr>
        <w:t>2</w:t>
      </w:r>
      <w:r w:rsidRPr="00FC68BC">
        <w:rPr>
          <w:rFonts w:hint="eastAsia"/>
          <w:szCs w:val="24"/>
        </w:rPr>
        <w:t>）制药工程专业：</w:t>
      </w:r>
      <w:r w:rsidRPr="00FC68BC">
        <w:rPr>
          <w:rFonts w:hint="eastAsia"/>
          <w:szCs w:val="24"/>
        </w:rPr>
        <w:t>10</w:t>
      </w:r>
      <w:r w:rsidRPr="00FC68BC">
        <w:rPr>
          <w:rFonts w:hint="eastAsia"/>
          <w:szCs w:val="24"/>
        </w:rPr>
        <w:t>名</w:t>
      </w:r>
    </w:p>
    <w:p w:rsidR="005B3F37" w:rsidRPr="00FC68BC" w:rsidRDefault="00FC68BC" w:rsidP="00FC68BC">
      <w:pPr>
        <w:pStyle w:val="a6"/>
        <w:ind w:left="420" w:firstLineChars="0" w:firstLine="0"/>
        <w:rPr>
          <w:szCs w:val="24"/>
        </w:rPr>
      </w:pPr>
      <w:r w:rsidRPr="00FC68BC">
        <w:rPr>
          <w:rFonts w:hint="eastAsia"/>
          <w:szCs w:val="24"/>
        </w:rPr>
        <w:t>（</w:t>
      </w:r>
      <w:r w:rsidRPr="00FC68BC">
        <w:rPr>
          <w:rFonts w:hint="eastAsia"/>
          <w:szCs w:val="24"/>
        </w:rPr>
        <w:t>3</w:t>
      </w:r>
      <w:r w:rsidRPr="00FC68BC">
        <w:rPr>
          <w:rFonts w:hint="eastAsia"/>
          <w:szCs w:val="24"/>
        </w:rPr>
        <w:t>）</w:t>
      </w:r>
      <w:r>
        <w:rPr>
          <w:rFonts w:hint="eastAsia"/>
          <w:szCs w:val="24"/>
        </w:rPr>
        <w:t>生物工程</w:t>
      </w:r>
      <w:r w:rsidR="00497408">
        <w:rPr>
          <w:rFonts w:hint="eastAsia"/>
          <w:szCs w:val="24"/>
        </w:rPr>
        <w:t>类（</w:t>
      </w:r>
      <w:r>
        <w:rPr>
          <w:rFonts w:hint="eastAsia"/>
          <w:szCs w:val="24"/>
        </w:rPr>
        <w:t>中</w:t>
      </w:r>
      <w:r w:rsidR="00497408">
        <w:rPr>
          <w:rFonts w:hint="eastAsia"/>
          <w:szCs w:val="24"/>
        </w:rPr>
        <w:t>外</w:t>
      </w:r>
      <w:r>
        <w:rPr>
          <w:rFonts w:hint="eastAsia"/>
          <w:szCs w:val="24"/>
        </w:rPr>
        <w:t>合作办学</w:t>
      </w:r>
      <w:r w:rsidR="00497408">
        <w:rPr>
          <w:rFonts w:hint="eastAsia"/>
          <w:szCs w:val="24"/>
        </w:rPr>
        <w:t>）</w:t>
      </w:r>
      <w:r>
        <w:rPr>
          <w:rFonts w:hint="eastAsia"/>
          <w:szCs w:val="24"/>
        </w:rPr>
        <w:t>：</w:t>
      </w:r>
      <w:r>
        <w:rPr>
          <w:rFonts w:hint="eastAsia"/>
          <w:szCs w:val="24"/>
        </w:rPr>
        <w:t>8</w:t>
      </w:r>
      <w:r>
        <w:rPr>
          <w:rFonts w:hint="eastAsia"/>
          <w:szCs w:val="24"/>
        </w:rPr>
        <w:t>名</w:t>
      </w:r>
    </w:p>
    <w:p w:rsidR="005B3F37" w:rsidRDefault="00545554" w:rsidP="00545554">
      <w:pPr>
        <w:pStyle w:val="a6"/>
        <w:ind w:left="420" w:firstLineChars="0" w:firstLine="0"/>
      </w:pPr>
      <w:r w:rsidRPr="00545554">
        <w:rPr>
          <w:rFonts w:hint="eastAsia"/>
        </w:rPr>
        <w:lastRenderedPageBreak/>
        <w:t>4</w:t>
      </w:r>
      <w:r w:rsidRPr="00545554">
        <w:rPr>
          <w:rFonts w:hint="eastAsia"/>
        </w:rPr>
        <w:t>、</w:t>
      </w:r>
      <w:r>
        <w:rPr>
          <w:rFonts w:hint="eastAsia"/>
        </w:rPr>
        <w:t>生物工程类（中外合作办学）收费标准</w:t>
      </w:r>
    </w:p>
    <w:p w:rsidR="00545554" w:rsidRPr="00545554" w:rsidRDefault="00545554" w:rsidP="00545554">
      <w:pPr>
        <w:ind w:firstLine="480"/>
      </w:pPr>
      <w:r w:rsidRPr="00545554">
        <w:rPr>
          <w:rFonts w:hint="eastAsia"/>
        </w:rPr>
        <w:t>生物工程类（中外合作办学）项目在西南交通大学学费为</w:t>
      </w:r>
      <w:r w:rsidRPr="00545554">
        <w:rPr>
          <w:rFonts w:hint="eastAsia"/>
        </w:rPr>
        <w:t>3.5</w:t>
      </w:r>
      <w:r w:rsidRPr="00545554">
        <w:rPr>
          <w:rFonts w:hint="eastAsia"/>
        </w:rPr>
        <w:t>万元</w:t>
      </w:r>
      <w:r w:rsidRPr="00545554">
        <w:rPr>
          <w:rFonts w:hint="eastAsia"/>
        </w:rPr>
        <w:t>/</w:t>
      </w:r>
      <w:r w:rsidRPr="00545554">
        <w:rPr>
          <w:rFonts w:hint="eastAsia"/>
        </w:rPr>
        <w:t>人·年，住宿费为</w:t>
      </w:r>
      <w:r w:rsidRPr="00545554">
        <w:rPr>
          <w:rFonts w:hint="eastAsia"/>
        </w:rPr>
        <w:t>1200</w:t>
      </w:r>
      <w:r w:rsidRPr="00545554">
        <w:rPr>
          <w:rFonts w:hint="eastAsia"/>
        </w:rPr>
        <w:t>元</w:t>
      </w:r>
      <w:r w:rsidRPr="00545554">
        <w:rPr>
          <w:rFonts w:hint="eastAsia"/>
        </w:rPr>
        <w:t>/</w:t>
      </w:r>
      <w:r w:rsidRPr="00545554">
        <w:rPr>
          <w:rFonts w:hint="eastAsia"/>
        </w:rPr>
        <w:t>人·年。在美国学费折算人民币约</w:t>
      </w:r>
      <w:r w:rsidRPr="00545554">
        <w:rPr>
          <w:rFonts w:hint="eastAsia"/>
        </w:rPr>
        <w:t>15-20</w:t>
      </w:r>
      <w:r w:rsidRPr="00545554">
        <w:rPr>
          <w:rFonts w:hint="eastAsia"/>
        </w:rPr>
        <w:t>万元</w:t>
      </w:r>
      <w:r w:rsidRPr="00545554">
        <w:rPr>
          <w:rFonts w:hint="eastAsia"/>
        </w:rPr>
        <w:t>/</w:t>
      </w:r>
      <w:r w:rsidRPr="00545554">
        <w:rPr>
          <w:rFonts w:hint="eastAsia"/>
        </w:rPr>
        <w:t>人·年，具体见美国乔治亚州立大学网站国际学生学费标准最新信息。</w:t>
      </w:r>
      <w:r>
        <w:rPr>
          <w:rFonts w:hint="eastAsia"/>
        </w:rPr>
        <w:t>申请人自</w:t>
      </w:r>
      <w:r w:rsidRPr="00545554">
        <w:rPr>
          <w:rFonts w:hint="eastAsia"/>
        </w:rPr>
        <w:t>愿按项目标准缴纳学费。</w:t>
      </w:r>
    </w:p>
    <w:p w:rsidR="00545554" w:rsidRDefault="00545554" w:rsidP="00545554">
      <w:pPr>
        <w:widowControl/>
        <w:ind w:firstLineChars="175" w:firstLine="420"/>
        <w:rPr>
          <w:rFonts w:ascii="仿宋" w:eastAsia="仿宋" w:hAnsi="仿宋" w:cs="仿宋"/>
        </w:rPr>
      </w:pPr>
      <w:r w:rsidRPr="00545554">
        <w:rPr>
          <w:rFonts w:hint="eastAsia"/>
        </w:rPr>
        <w:t>注：部分成绩优异学生可申请乔治亚州州内学费，减免学费约</w:t>
      </w:r>
      <w:r w:rsidRPr="00545554">
        <w:rPr>
          <w:rFonts w:hint="eastAsia"/>
        </w:rPr>
        <w:t>2</w:t>
      </w:r>
      <w:r w:rsidRPr="00545554">
        <w:rPr>
          <w:rFonts w:hint="eastAsia"/>
        </w:rPr>
        <w:t>万美金</w:t>
      </w:r>
      <w:r w:rsidRPr="00545554">
        <w:rPr>
          <w:rFonts w:hint="eastAsia"/>
        </w:rPr>
        <w:t>/</w:t>
      </w:r>
      <w:r w:rsidRPr="00545554">
        <w:rPr>
          <w:rFonts w:hint="eastAsia"/>
        </w:rPr>
        <w:t>人·年，同时还可申请多种荣誉奖学金。</w:t>
      </w:r>
      <w:r>
        <w:rPr>
          <w:rFonts w:ascii="仿宋" w:eastAsia="仿宋" w:hAnsi="仿宋" w:cs="仿宋" w:hint="eastAsia"/>
          <w:b/>
          <w:bCs/>
        </w:rPr>
        <w:t xml:space="preserve"> </w:t>
      </w:r>
    </w:p>
    <w:p w:rsidR="0084788A" w:rsidRPr="0084788A" w:rsidRDefault="0084788A" w:rsidP="005B3F37">
      <w:pPr>
        <w:widowControl/>
        <w:spacing w:before="240" w:after="60" w:line="312" w:lineRule="auto"/>
        <w:ind w:firstLineChars="0" w:firstLine="0"/>
        <w:rPr>
          <w:szCs w:val="24"/>
        </w:rPr>
      </w:pPr>
      <w:r>
        <w:rPr>
          <w:rFonts w:hint="eastAsia"/>
          <w:szCs w:val="24"/>
        </w:rPr>
        <w:t>附</w:t>
      </w:r>
      <w:r w:rsidR="005B3F37">
        <w:rPr>
          <w:rFonts w:hint="eastAsia"/>
          <w:szCs w:val="24"/>
        </w:rPr>
        <w:t>表</w:t>
      </w:r>
      <w:r>
        <w:rPr>
          <w:szCs w:val="24"/>
        </w:rPr>
        <w:t>：</w:t>
      </w:r>
      <w:r w:rsidRPr="0084788A">
        <w:rPr>
          <w:rFonts w:hint="eastAsia"/>
          <w:szCs w:val="24"/>
        </w:rPr>
        <w:t>转专业</w:t>
      </w:r>
      <w:r w:rsidRPr="0084788A">
        <w:rPr>
          <w:szCs w:val="24"/>
        </w:rPr>
        <w:t>准入课程明细</w:t>
      </w:r>
    </w:p>
    <w:tbl>
      <w:tblPr>
        <w:tblStyle w:val="a7"/>
        <w:tblW w:w="7531" w:type="dxa"/>
        <w:jc w:val="center"/>
        <w:tblLook w:val="04A0" w:firstRow="1" w:lastRow="0" w:firstColumn="1" w:lastColumn="0" w:noHBand="0" w:noVBand="1"/>
      </w:tblPr>
      <w:tblGrid>
        <w:gridCol w:w="790"/>
        <w:gridCol w:w="1349"/>
        <w:gridCol w:w="2115"/>
        <w:gridCol w:w="668"/>
        <w:gridCol w:w="1147"/>
        <w:gridCol w:w="1462"/>
      </w:tblGrid>
      <w:tr w:rsidR="0084788A" w:rsidRPr="005B3F37" w:rsidTr="00E74FF2">
        <w:trPr>
          <w:jc w:val="center"/>
        </w:trPr>
        <w:tc>
          <w:tcPr>
            <w:tcW w:w="790" w:type="dxa"/>
            <w:vAlign w:val="center"/>
          </w:tcPr>
          <w:p w:rsidR="0084788A" w:rsidRPr="005B3F37" w:rsidRDefault="0084788A" w:rsidP="0084788A">
            <w:pPr>
              <w:widowControl/>
              <w:spacing w:before="0" w:after="0" w:line="240" w:lineRule="auto"/>
              <w:ind w:firstLineChars="0" w:firstLine="0"/>
              <w:rPr>
                <w:sz w:val="21"/>
                <w:szCs w:val="21"/>
              </w:rPr>
            </w:pPr>
            <w:r w:rsidRPr="005B3F37">
              <w:rPr>
                <w:rFonts w:hint="eastAsia"/>
                <w:sz w:val="21"/>
                <w:szCs w:val="21"/>
              </w:rPr>
              <w:t>学院</w:t>
            </w:r>
          </w:p>
        </w:tc>
        <w:tc>
          <w:tcPr>
            <w:tcW w:w="1349" w:type="dxa"/>
            <w:vAlign w:val="center"/>
          </w:tcPr>
          <w:p w:rsidR="0084788A" w:rsidRPr="005B3F37" w:rsidRDefault="0084788A" w:rsidP="0084788A">
            <w:pPr>
              <w:widowControl/>
              <w:spacing w:before="0" w:after="0" w:line="240" w:lineRule="auto"/>
              <w:ind w:firstLineChars="0" w:firstLine="0"/>
              <w:rPr>
                <w:sz w:val="21"/>
                <w:szCs w:val="21"/>
              </w:rPr>
            </w:pPr>
            <w:r w:rsidRPr="005B3F37">
              <w:rPr>
                <w:rFonts w:hint="eastAsia"/>
                <w:sz w:val="21"/>
                <w:szCs w:val="21"/>
              </w:rPr>
              <w:t>专业</w:t>
            </w:r>
          </w:p>
        </w:tc>
        <w:tc>
          <w:tcPr>
            <w:tcW w:w="2115" w:type="dxa"/>
            <w:vAlign w:val="center"/>
          </w:tcPr>
          <w:p w:rsidR="0084788A" w:rsidRPr="005B3F37" w:rsidRDefault="0084788A" w:rsidP="0084788A">
            <w:pPr>
              <w:widowControl/>
              <w:spacing w:before="0" w:after="0" w:line="240" w:lineRule="auto"/>
              <w:ind w:firstLineChars="0" w:firstLine="0"/>
              <w:rPr>
                <w:sz w:val="21"/>
                <w:szCs w:val="21"/>
              </w:rPr>
            </w:pPr>
            <w:r w:rsidRPr="005B3F37">
              <w:rPr>
                <w:rFonts w:hint="eastAsia"/>
                <w:sz w:val="21"/>
                <w:szCs w:val="21"/>
              </w:rPr>
              <w:t>准入课程</w:t>
            </w:r>
            <w:r w:rsidRPr="005B3F37">
              <w:rPr>
                <w:sz w:val="21"/>
                <w:szCs w:val="21"/>
              </w:rPr>
              <w:t>名称</w:t>
            </w:r>
          </w:p>
        </w:tc>
        <w:tc>
          <w:tcPr>
            <w:tcW w:w="668" w:type="dxa"/>
            <w:vAlign w:val="center"/>
          </w:tcPr>
          <w:p w:rsidR="005B3F37" w:rsidRDefault="0084788A" w:rsidP="0084788A">
            <w:pPr>
              <w:widowControl/>
              <w:spacing w:before="0" w:after="0" w:line="240" w:lineRule="auto"/>
              <w:ind w:firstLineChars="0" w:firstLine="0"/>
              <w:rPr>
                <w:sz w:val="21"/>
                <w:szCs w:val="21"/>
              </w:rPr>
            </w:pPr>
            <w:r w:rsidRPr="005B3F37">
              <w:rPr>
                <w:rFonts w:hint="eastAsia"/>
                <w:sz w:val="21"/>
                <w:szCs w:val="21"/>
              </w:rPr>
              <w:t>课程</w:t>
            </w:r>
          </w:p>
          <w:p w:rsidR="0084788A" w:rsidRPr="005B3F37" w:rsidRDefault="0084788A" w:rsidP="0084788A">
            <w:pPr>
              <w:widowControl/>
              <w:spacing w:before="0" w:after="0" w:line="240" w:lineRule="auto"/>
              <w:ind w:firstLineChars="0" w:firstLine="0"/>
              <w:rPr>
                <w:sz w:val="21"/>
                <w:szCs w:val="21"/>
              </w:rPr>
            </w:pPr>
            <w:r w:rsidRPr="005B3F37">
              <w:rPr>
                <w:rFonts w:hint="eastAsia"/>
                <w:sz w:val="21"/>
                <w:szCs w:val="21"/>
              </w:rPr>
              <w:t>学分</w:t>
            </w:r>
          </w:p>
        </w:tc>
        <w:tc>
          <w:tcPr>
            <w:tcW w:w="1147" w:type="dxa"/>
            <w:vAlign w:val="center"/>
          </w:tcPr>
          <w:p w:rsidR="005B3F37" w:rsidRPr="005B3F37" w:rsidRDefault="0084788A" w:rsidP="0084788A">
            <w:pPr>
              <w:widowControl/>
              <w:spacing w:before="0" w:after="0" w:line="240" w:lineRule="auto"/>
              <w:ind w:firstLineChars="0" w:firstLine="0"/>
              <w:jc w:val="center"/>
              <w:rPr>
                <w:sz w:val="21"/>
                <w:szCs w:val="21"/>
              </w:rPr>
            </w:pPr>
            <w:r w:rsidRPr="005B3F37">
              <w:rPr>
                <w:rFonts w:hint="eastAsia"/>
                <w:sz w:val="21"/>
                <w:szCs w:val="21"/>
              </w:rPr>
              <w:t>课程</w:t>
            </w:r>
          </w:p>
          <w:p w:rsidR="0084788A" w:rsidRPr="005B3F37" w:rsidRDefault="0084788A" w:rsidP="0084788A">
            <w:pPr>
              <w:widowControl/>
              <w:spacing w:before="0" w:after="0" w:line="240" w:lineRule="auto"/>
              <w:ind w:firstLineChars="0" w:firstLine="0"/>
              <w:jc w:val="center"/>
              <w:rPr>
                <w:sz w:val="21"/>
                <w:szCs w:val="21"/>
              </w:rPr>
            </w:pPr>
            <w:r w:rsidRPr="005B3F37">
              <w:rPr>
                <w:rFonts w:hint="eastAsia"/>
                <w:sz w:val="21"/>
                <w:szCs w:val="21"/>
              </w:rPr>
              <w:t>代码</w:t>
            </w:r>
          </w:p>
        </w:tc>
        <w:tc>
          <w:tcPr>
            <w:tcW w:w="1462" w:type="dxa"/>
            <w:vAlign w:val="center"/>
          </w:tcPr>
          <w:p w:rsidR="0084788A" w:rsidRPr="005B3F37" w:rsidRDefault="0084788A" w:rsidP="0084788A">
            <w:pPr>
              <w:widowControl/>
              <w:spacing w:before="0" w:after="0" w:line="240" w:lineRule="auto"/>
              <w:ind w:firstLineChars="0" w:firstLine="0"/>
              <w:rPr>
                <w:sz w:val="21"/>
                <w:szCs w:val="21"/>
              </w:rPr>
            </w:pPr>
            <w:r w:rsidRPr="005B3F37">
              <w:rPr>
                <w:rFonts w:hint="eastAsia"/>
                <w:sz w:val="21"/>
                <w:szCs w:val="21"/>
              </w:rPr>
              <w:t>备注</w:t>
            </w:r>
          </w:p>
        </w:tc>
      </w:tr>
      <w:tr w:rsidR="00074365" w:rsidRPr="005B3F37" w:rsidTr="00E74FF2">
        <w:trPr>
          <w:jc w:val="center"/>
        </w:trPr>
        <w:tc>
          <w:tcPr>
            <w:tcW w:w="790" w:type="dxa"/>
            <w:vMerge w:val="restart"/>
          </w:tcPr>
          <w:p w:rsidR="00074365" w:rsidRDefault="00074365" w:rsidP="002216FA">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生命</w:t>
            </w:r>
          </w:p>
        </w:tc>
        <w:tc>
          <w:tcPr>
            <w:tcW w:w="1349" w:type="dxa"/>
            <w:vMerge w:val="restart"/>
          </w:tcPr>
          <w:p w:rsidR="00074365" w:rsidRDefault="00074365" w:rsidP="002216FA">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生物工程</w:t>
            </w:r>
          </w:p>
        </w:tc>
        <w:tc>
          <w:tcPr>
            <w:tcW w:w="2115" w:type="dxa"/>
          </w:tcPr>
          <w:p w:rsidR="00074365" w:rsidRDefault="00074365" w:rsidP="002216FA">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生命科学导论</w:t>
            </w:r>
          </w:p>
        </w:tc>
        <w:tc>
          <w:tcPr>
            <w:tcW w:w="668" w:type="dxa"/>
          </w:tcPr>
          <w:p w:rsidR="00074365" w:rsidRDefault="00074365" w:rsidP="002216FA">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2</w:t>
            </w:r>
          </w:p>
        </w:tc>
        <w:tc>
          <w:tcPr>
            <w:tcW w:w="1147" w:type="dxa"/>
          </w:tcPr>
          <w:p w:rsidR="00074365" w:rsidRDefault="00074365" w:rsidP="002216FA">
            <w:pPr>
              <w:widowControl/>
              <w:spacing w:before="0" w:after="0" w:line="240" w:lineRule="auto"/>
              <w:ind w:firstLineChars="0" w:firstLine="0"/>
              <w:jc w:val="both"/>
              <w:rPr>
                <w:rFonts w:ascii="Cambria" w:hAnsi="Cambria"/>
                <w:bCs/>
                <w:kern w:val="28"/>
                <w:szCs w:val="24"/>
              </w:rPr>
            </w:pPr>
            <w:r>
              <w:rPr>
                <w:rFonts w:ascii="Arial" w:hAnsi="Arial" w:cs="Arial"/>
                <w:color w:val="000000"/>
                <w:sz w:val="21"/>
                <w:szCs w:val="21"/>
              </w:rPr>
              <w:t>6230450</w:t>
            </w:r>
          </w:p>
        </w:tc>
        <w:tc>
          <w:tcPr>
            <w:tcW w:w="1462" w:type="dxa"/>
          </w:tcPr>
          <w:p w:rsidR="00074365" w:rsidRDefault="00074365" w:rsidP="002216FA">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一年级、二年级</w:t>
            </w:r>
          </w:p>
        </w:tc>
      </w:tr>
      <w:tr w:rsidR="00074365" w:rsidRPr="005B3F37" w:rsidTr="00E74FF2">
        <w:trPr>
          <w:jc w:val="center"/>
        </w:trPr>
        <w:tc>
          <w:tcPr>
            <w:tcW w:w="790" w:type="dxa"/>
            <w:vMerge/>
          </w:tcPr>
          <w:p w:rsidR="00074365" w:rsidRDefault="00074365" w:rsidP="002216FA">
            <w:pPr>
              <w:widowControl/>
              <w:spacing w:before="0" w:after="0" w:line="240" w:lineRule="auto"/>
              <w:ind w:firstLineChars="0" w:firstLine="0"/>
              <w:jc w:val="both"/>
              <w:rPr>
                <w:rFonts w:ascii="Cambria" w:hAnsi="Cambria"/>
                <w:bCs/>
                <w:kern w:val="28"/>
                <w:szCs w:val="24"/>
              </w:rPr>
            </w:pPr>
          </w:p>
        </w:tc>
        <w:tc>
          <w:tcPr>
            <w:tcW w:w="1349" w:type="dxa"/>
            <w:vMerge/>
          </w:tcPr>
          <w:p w:rsidR="00074365" w:rsidRDefault="00074365" w:rsidP="002216FA">
            <w:pPr>
              <w:widowControl/>
              <w:spacing w:before="0" w:after="0" w:line="240" w:lineRule="auto"/>
              <w:ind w:firstLineChars="0" w:firstLine="0"/>
              <w:jc w:val="both"/>
              <w:rPr>
                <w:rFonts w:ascii="Cambria" w:hAnsi="Cambria"/>
                <w:bCs/>
                <w:kern w:val="28"/>
                <w:szCs w:val="24"/>
              </w:rPr>
            </w:pPr>
          </w:p>
        </w:tc>
        <w:tc>
          <w:tcPr>
            <w:tcW w:w="2115" w:type="dxa"/>
          </w:tcPr>
          <w:p w:rsidR="00074365" w:rsidRDefault="00074365" w:rsidP="002216FA">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医药与人类社会</w:t>
            </w:r>
          </w:p>
        </w:tc>
        <w:tc>
          <w:tcPr>
            <w:tcW w:w="668" w:type="dxa"/>
          </w:tcPr>
          <w:p w:rsidR="00074365" w:rsidRDefault="00074365" w:rsidP="002216FA">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2</w:t>
            </w:r>
          </w:p>
        </w:tc>
        <w:tc>
          <w:tcPr>
            <w:tcW w:w="1147" w:type="dxa"/>
          </w:tcPr>
          <w:p w:rsidR="00074365" w:rsidRDefault="00074365" w:rsidP="002216FA">
            <w:pPr>
              <w:widowControl/>
              <w:spacing w:before="0" w:after="0" w:line="240" w:lineRule="auto"/>
              <w:ind w:firstLineChars="0" w:firstLine="0"/>
              <w:jc w:val="both"/>
              <w:rPr>
                <w:rFonts w:ascii="Cambria" w:hAnsi="Cambria"/>
                <w:bCs/>
                <w:kern w:val="28"/>
                <w:szCs w:val="24"/>
              </w:rPr>
            </w:pPr>
            <w:r>
              <w:rPr>
                <w:rFonts w:ascii="Arial" w:hAnsi="Arial" w:cs="Arial"/>
                <w:color w:val="000000"/>
                <w:sz w:val="21"/>
                <w:szCs w:val="21"/>
              </w:rPr>
              <w:t>1671075</w:t>
            </w:r>
          </w:p>
        </w:tc>
        <w:tc>
          <w:tcPr>
            <w:tcW w:w="1462" w:type="dxa"/>
          </w:tcPr>
          <w:p w:rsidR="00074365" w:rsidRDefault="00074365" w:rsidP="002216FA">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一年级、二年级</w:t>
            </w:r>
          </w:p>
        </w:tc>
      </w:tr>
      <w:tr w:rsidR="00074365" w:rsidRPr="005B3F37" w:rsidTr="00E74FF2">
        <w:trPr>
          <w:jc w:val="center"/>
        </w:trPr>
        <w:tc>
          <w:tcPr>
            <w:tcW w:w="790" w:type="dxa"/>
            <w:vMerge/>
          </w:tcPr>
          <w:p w:rsidR="00074365" w:rsidRDefault="00074365" w:rsidP="002216FA">
            <w:pPr>
              <w:widowControl/>
              <w:spacing w:before="0" w:after="0" w:line="240" w:lineRule="auto"/>
              <w:ind w:firstLineChars="0" w:firstLine="0"/>
              <w:jc w:val="both"/>
              <w:rPr>
                <w:rFonts w:ascii="Cambria" w:hAnsi="Cambria"/>
                <w:bCs/>
                <w:kern w:val="28"/>
                <w:szCs w:val="24"/>
              </w:rPr>
            </w:pPr>
          </w:p>
        </w:tc>
        <w:tc>
          <w:tcPr>
            <w:tcW w:w="1349" w:type="dxa"/>
            <w:vMerge/>
          </w:tcPr>
          <w:p w:rsidR="00074365" w:rsidRDefault="00074365" w:rsidP="002216FA">
            <w:pPr>
              <w:widowControl/>
              <w:spacing w:before="0" w:after="0" w:line="240" w:lineRule="auto"/>
              <w:ind w:firstLineChars="0" w:firstLine="0"/>
              <w:jc w:val="both"/>
              <w:rPr>
                <w:rFonts w:ascii="Cambria" w:hAnsi="Cambria"/>
                <w:bCs/>
                <w:kern w:val="28"/>
                <w:szCs w:val="24"/>
              </w:rPr>
            </w:pPr>
          </w:p>
        </w:tc>
        <w:tc>
          <w:tcPr>
            <w:tcW w:w="2115" w:type="dxa"/>
          </w:tcPr>
          <w:p w:rsidR="00074365" w:rsidRDefault="00074365" w:rsidP="00E74FF2">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高等数学</w:t>
            </w:r>
            <w:r>
              <w:rPr>
                <w:rFonts w:ascii="Cambria" w:hAnsi="Cambria" w:hint="eastAsia"/>
                <w:bCs/>
                <w:kern w:val="28"/>
                <w:szCs w:val="24"/>
              </w:rPr>
              <w:t>C</w:t>
            </w:r>
            <w:r>
              <w:rPr>
                <w:rFonts w:ascii="Cambria" w:hAnsi="Cambria"/>
                <w:bCs/>
                <w:kern w:val="28"/>
                <w:szCs w:val="24"/>
              </w:rPr>
              <w:t>I</w:t>
            </w:r>
          </w:p>
        </w:tc>
        <w:tc>
          <w:tcPr>
            <w:tcW w:w="668" w:type="dxa"/>
          </w:tcPr>
          <w:p w:rsidR="00074365" w:rsidRDefault="00074365" w:rsidP="002216FA">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4</w:t>
            </w:r>
          </w:p>
        </w:tc>
        <w:tc>
          <w:tcPr>
            <w:tcW w:w="1147" w:type="dxa"/>
          </w:tcPr>
          <w:p w:rsidR="00074365" w:rsidRPr="00562080" w:rsidRDefault="00074365" w:rsidP="002216FA">
            <w:pPr>
              <w:widowControl/>
              <w:spacing w:before="0" w:after="0" w:line="240" w:lineRule="auto"/>
              <w:ind w:firstLineChars="0" w:firstLine="0"/>
              <w:jc w:val="both"/>
              <w:rPr>
                <w:rFonts w:ascii="Arial" w:hAnsi="Arial" w:cs="Arial"/>
                <w:color w:val="000000"/>
                <w:sz w:val="21"/>
                <w:szCs w:val="21"/>
              </w:rPr>
            </w:pPr>
            <w:r>
              <w:rPr>
                <w:rFonts w:ascii="Arial" w:hAnsi="Arial" w:cs="Arial" w:hint="eastAsia"/>
                <w:color w:val="000000"/>
                <w:sz w:val="21"/>
                <w:szCs w:val="21"/>
              </w:rPr>
              <w:t>3271064</w:t>
            </w:r>
          </w:p>
        </w:tc>
        <w:tc>
          <w:tcPr>
            <w:tcW w:w="1462" w:type="dxa"/>
          </w:tcPr>
          <w:p w:rsidR="00074365" w:rsidRDefault="00074365" w:rsidP="002216FA">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一年级、二年级</w:t>
            </w:r>
          </w:p>
        </w:tc>
      </w:tr>
      <w:tr w:rsidR="00074365" w:rsidRPr="005B3F37" w:rsidTr="00E74FF2">
        <w:trPr>
          <w:jc w:val="center"/>
        </w:trPr>
        <w:tc>
          <w:tcPr>
            <w:tcW w:w="790" w:type="dxa"/>
            <w:vMerge/>
          </w:tcPr>
          <w:p w:rsidR="00074365" w:rsidRDefault="00074365" w:rsidP="002216FA">
            <w:pPr>
              <w:widowControl/>
              <w:spacing w:before="0" w:after="0" w:line="240" w:lineRule="auto"/>
              <w:ind w:firstLineChars="0" w:firstLine="0"/>
              <w:jc w:val="both"/>
              <w:rPr>
                <w:rFonts w:ascii="Cambria" w:hAnsi="Cambria"/>
                <w:bCs/>
                <w:kern w:val="28"/>
                <w:szCs w:val="24"/>
              </w:rPr>
            </w:pPr>
          </w:p>
        </w:tc>
        <w:tc>
          <w:tcPr>
            <w:tcW w:w="1349" w:type="dxa"/>
            <w:vMerge/>
          </w:tcPr>
          <w:p w:rsidR="00074365" w:rsidRDefault="00074365" w:rsidP="002216FA">
            <w:pPr>
              <w:widowControl/>
              <w:spacing w:before="0" w:after="0" w:line="240" w:lineRule="auto"/>
              <w:ind w:firstLineChars="0" w:firstLine="0"/>
              <w:jc w:val="both"/>
              <w:rPr>
                <w:rFonts w:ascii="Cambria" w:hAnsi="Cambria"/>
                <w:bCs/>
                <w:kern w:val="28"/>
                <w:szCs w:val="24"/>
              </w:rPr>
            </w:pPr>
          </w:p>
        </w:tc>
        <w:tc>
          <w:tcPr>
            <w:tcW w:w="2115" w:type="dxa"/>
          </w:tcPr>
          <w:p w:rsidR="00074365" w:rsidRDefault="00074365" w:rsidP="00E74FF2">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高等数学</w:t>
            </w:r>
            <w:r>
              <w:rPr>
                <w:rFonts w:ascii="Cambria" w:hAnsi="Cambria" w:hint="eastAsia"/>
                <w:bCs/>
                <w:kern w:val="28"/>
                <w:szCs w:val="24"/>
              </w:rPr>
              <w:t>C</w:t>
            </w:r>
            <w:r>
              <w:rPr>
                <w:rFonts w:ascii="Cambria" w:hAnsi="Cambria"/>
                <w:bCs/>
                <w:kern w:val="28"/>
                <w:szCs w:val="24"/>
              </w:rPr>
              <w:t>II</w:t>
            </w:r>
          </w:p>
        </w:tc>
        <w:tc>
          <w:tcPr>
            <w:tcW w:w="668" w:type="dxa"/>
          </w:tcPr>
          <w:p w:rsidR="00074365" w:rsidRDefault="00074365" w:rsidP="002216FA">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4</w:t>
            </w:r>
          </w:p>
        </w:tc>
        <w:tc>
          <w:tcPr>
            <w:tcW w:w="1147" w:type="dxa"/>
          </w:tcPr>
          <w:p w:rsidR="00074365" w:rsidRPr="00562080" w:rsidRDefault="00074365" w:rsidP="002216FA">
            <w:pPr>
              <w:widowControl/>
              <w:spacing w:before="0" w:after="0" w:line="240" w:lineRule="auto"/>
              <w:ind w:firstLineChars="0" w:firstLine="0"/>
              <w:jc w:val="both"/>
              <w:rPr>
                <w:rFonts w:ascii="Arial" w:hAnsi="Arial" w:cs="Arial"/>
                <w:color w:val="000000"/>
                <w:sz w:val="21"/>
                <w:szCs w:val="21"/>
              </w:rPr>
            </w:pPr>
            <w:r>
              <w:rPr>
                <w:rFonts w:ascii="Arial" w:hAnsi="Arial" w:cs="Arial" w:hint="eastAsia"/>
                <w:color w:val="000000"/>
                <w:sz w:val="21"/>
                <w:szCs w:val="21"/>
              </w:rPr>
              <w:t>1271040</w:t>
            </w:r>
          </w:p>
        </w:tc>
        <w:tc>
          <w:tcPr>
            <w:tcW w:w="1462" w:type="dxa"/>
          </w:tcPr>
          <w:p w:rsidR="00074365" w:rsidRDefault="00074365" w:rsidP="002216FA">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一年级、二年级</w:t>
            </w:r>
          </w:p>
        </w:tc>
      </w:tr>
      <w:tr w:rsidR="00074365" w:rsidRPr="005B3F37" w:rsidTr="00E74FF2">
        <w:trPr>
          <w:jc w:val="center"/>
        </w:trPr>
        <w:tc>
          <w:tcPr>
            <w:tcW w:w="790" w:type="dxa"/>
            <w:vMerge/>
          </w:tcPr>
          <w:p w:rsidR="00074365" w:rsidRDefault="00074365" w:rsidP="002216FA">
            <w:pPr>
              <w:widowControl/>
              <w:spacing w:before="0" w:after="0" w:line="240" w:lineRule="auto"/>
              <w:ind w:firstLineChars="0" w:firstLine="0"/>
              <w:jc w:val="both"/>
              <w:rPr>
                <w:rFonts w:ascii="Cambria" w:hAnsi="Cambria"/>
                <w:bCs/>
                <w:kern w:val="28"/>
                <w:szCs w:val="24"/>
              </w:rPr>
            </w:pPr>
          </w:p>
        </w:tc>
        <w:tc>
          <w:tcPr>
            <w:tcW w:w="1349" w:type="dxa"/>
            <w:vMerge/>
          </w:tcPr>
          <w:p w:rsidR="00074365" w:rsidRDefault="00074365" w:rsidP="002216FA">
            <w:pPr>
              <w:widowControl/>
              <w:spacing w:before="0" w:after="0" w:line="240" w:lineRule="auto"/>
              <w:ind w:firstLineChars="0" w:firstLine="0"/>
              <w:jc w:val="both"/>
              <w:rPr>
                <w:rFonts w:ascii="Cambria" w:hAnsi="Cambria"/>
                <w:bCs/>
                <w:kern w:val="28"/>
                <w:szCs w:val="24"/>
              </w:rPr>
            </w:pPr>
          </w:p>
        </w:tc>
        <w:tc>
          <w:tcPr>
            <w:tcW w:w="2115" w:type="dxa"/>
          </w:tcPr>
          <w:p w:rsidR="00074365" w:rsidRDefault="00074365" w:rsidP="002216FA">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无机化学</w:t>
            </w:r>
            <w:r>
              <w:rPr>
                <w:rFonts w:ascii="Cambria" w:hAnsi="Cambria"/>
                <w:bCs/>
                <w:kern w:val="28"/>
                <w:szCs w:val="24"/>
              </w:rPr>
              <w:t>A</w:t>
            </w:r>
          </w:p>
        </w:tc>
        <w:tc>
          <w:tcPr>
            <w:tcW w:w="668" w:type="dxa"/>
          </w:tcPr>
          <w:p w:rsidR="00074365" w:rsidRDefault="00074365" w:rsidP="002216FA">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3</w:t>
            </w:r>
          </w:p>
        </w:tc>
        <w:tc>
          <w:tcPr>
            <w:tcW w:w="1147" w:type="dxa"/>
          </w:tcPr>
          <w:p w:rsidR="00074365" w:rsidRDefault="00074365" w:rsidP="002216FA">
            <w:pPr>
              <w:widowControl/>
              <w:spacing w:before="0" w:after="0" w:line="240" w:lineRule="auto"/>
              <w:ind w:firstLineChars="0" w:firstLine="0"/>
              <w:jc w:val="both"/>
              <w:rPr>
                <w:rFonts w:ascii="Cambria" w:hAnsi="Cambria"/>
                <w:bCs/>
                <w:kern w:val="28"/>
                <w:szCs w:val="24"/>
              </w:rPr>
            </w:pPr>
            <w:r>
              <w:rPr>
                <w:rFonts w:ascii="Arial" w:hAnsi="Arial" w:cs="Arial"/>
                <w:color w:val="000000"/>
                <w:sz w:val="21"/>
                <w:szCs w:val="21"/>
              </w:rPr>
              <w:t>6231293</w:t>
            </w:r>
          </w:p>
        </w:tc>
        <w:tc>
          <w:tcPr>
            <w:tcW w:w="1462" w:type="dxa"/>
          </w:tcPr>
          <w:p w:rsidR="00074365" w:rsidRDefault="00074365" w:rsidP="002216FA">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一年级、二年级</w:t>
            </w:r>
          </w:p>
        </w:tc>
      </w:tr>
      <w:tr w:rsidR="00074365" w:rsidRPr="005B3F37" w:rsidTr="00E74FF2">
        <w:trPr>
          <w:jc w:val="center"/>
        </w:trPr>
        <w:tc>
          <w:tcPr>
            <w:tcW w:w="790" w:type="dxa"/>
            <w:vMerge/>
          </w:tcPr>
          <w:p w:rsidR="00074365" w:rsidRDefault="00074365" w:rsidP="002216FA">
            <w:pPr>
              <w:widowControl/>
              <w:spacing w:before="0" w:after="0" w:line="240" w:lineRule="auto"/>
              <w:ind w:firstLineChars="0" w:firstLine="0"/>
              <w:jc w:val="both"/>
              <w:rPr>
                <w:rFonts w:ascii="Cambria" w:hAnsi="Cambria"/>
                <w:bCs/>
                <w:kern w:val="28"/>
                <w:szCs w:val="24"/>
              </w:rPr>
            </w:pPr>
          </w:p>
        </w:tc>
        <w:tc>
          <w:tcPr>
            <w:tcW w:w="1349" w:type="dxa"/>
            <w:vMerge/>
          </w:tcPr>
          <w:p w:rsidR="00074365" w:rsidRDefault="00074365" w:rsidP="002216FA">
            <w:pPr>
              <w:widowControl/>
              <w:spacing w:before="0" w:after="0" w:line="240" w:lineRule="auto"/>
              <w:ind w:firstLineChars="0" w:firstLine="0"/>
              <w:jc w:val="both"/>
              <w:rPr>
                <w:rFonts w:ascii="Cambria" w:hAnsi="Cambria"/>
                <w:bCs/>
                <w:kern w:val="28"/>
                <w:szCs w:val="24"/>
              </w:rPr>
            </w:pPr>
          </w:p>
        </w:tc>
        <w:tc>
          <w:tcPr>
            <w:tcW w:w="2115" w:type="dxa"/>
          </w:tcPr>
          <w:p w:rsidR="00074365" w:rsidRDefault="00074365" w:rsidP="002216FA">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生物化学</w:t>
            </w:r>
            <w:r>
              <w:rPr>
                <w:rFonts w:ascii="Cambria" w:hAnsi="Cambria"/>
                <w:bCs/>
                <w:kern w:val="28"/>
                <w:szCs w:val="24"/>
              </w:rPr>
              <w:t xml:space="preserve"> A</w:t>
            </w:r>
          </w:p>
        </w:tc>
        <w:tc>
          <w:tcPr>
            <w:tcW w:w="668" w:type="dxa"/>
          </w:tcPr>
          <w:p w:rsidR="00074365" w:rsidRDefault="00074365" w:rsidP="002216FA">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4</w:t>
            </w:r>
          </w:p>
        </w:tc>
        <w:tc>
          <w:tcPr>
            <w:tcW w:w="1147" w:type="dxa"/>
          </w:tcPr>
          <w:p w:rsidR="00074365" w:rsidRDefault="00074365" w:rsidP="002216FA">
            <w:pPr>
              <w:widowControl/>
              <w:spacing w:before="0" w:after="0" w:line="240" w:lineRule="auto"/>
              <w:ind w:firstLineChars="0" w:firstLine="0"/>
              <w:jc w:val="both"/>
              <w:rPr>
                <w:rFonts w:ascii="Cambria" w:hAnsi="Cambria"/>
                <w:bCs/>
                <w:kern w:val="28"/>
                <w:szCs w:val="24"/>
              </w:rPr>
            </w:pPr>
            <w:r>
              <w:rPr>
                <w:rFonts w:ascii="Arial" w:hAnsi="Arial" w:cs="Arial"/>
                <w:color w:val="000000"/>
                <w:sz w:val="21"/>
                <w:szCs w:val="21"/>
              </w:rPr>
              <w:t>1671045</w:t>
            </w:r>
          </w:p>
        </w:tc>
        <w:tc>
          <w:tcPr>
            <w:tcW w:w="1462" w:type="dxa"/>
          </w:tcPr>
          <w:p w:rsidR="00074365" w:rsidRDefault="00074365" w:rsidP="002216FA">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二年级</w:t>
            </w:r>
          </w:p>
        </w:tc>
      </w:tr>
      <w:tr w:rsidR="00074365" w:rsidRPr="005B3F37" w:rsidTr="00E74FF2">
        <w:trPr>
          <w:jc w:val="center"/>
        </w:trPr>
        <w:tc>
          <w:tcPr>
            <w:tcW w:w="790" w:type="dxa"/>
            <w:vMerge/>
          </w:tcPr>
          <w:p w:rsidR="00074365" w:rsidRDefault="00074365" w:rsidP="002216FA">
            <w:pPr>
              <w:widowControl/>
              <w:spacing w:before="0" w:after="0" w:line="240" w:lineRule="auto"/>
              <w:ind w:firstLineChars="0" w:firstLine="0"/>
              <w:jc w:val="both"/>
              <w:rPr>
                <w:rFonts w:ascii="Cambria" w:hAnsi="Cambria"/>
                <w:bCs/>
                <w:kern w:val="28"/>
                <w:szCs w:val="24"/>
              </w:rPr>
            </w:pPr>
          </w:p>
        </w:tc>
        <w:tc>
          <w:tcPr>
            <w:tcW w:w="1349" w:type="dxa"/>
            <w:vMerge/>
          </w:tcPr>
          <w:p w:rsidR="00074365" w:rsidRDefault="00074365" w:rsidP="002216FA">
            <w:pPr>
              <w:widowControl/>
              <w:spacing w:before="0" w:after="0" w:line="240" w:lineRule="auto"/>
              <w:ind w:firstLineChars="0" w:firstLine="0"/>
              <w:jc w:val="both"/>
              <w:rPr>
                <w:rFonts w:ascii="Cambria" w:hAnsi="Cambria"/>
                <w:bCs/>
                <w:kern w:val="28"/>
                <w:szCs w:val="24"/>
              </w:rPr>
            </w:pPr>
          </w:p>
        </w:tc>
        <w:tc>
          <w:tcPr>
            <w:tcW w:w="2115" w:type="dxa"/>
          </w:tcPr>
          <w:p w:rsidR="00074365" w:rsidRDefault="00074365" w:rsidP="002216FA">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微生物学</w:t>
            </w:r>
            <w:r>
              <w:rPr>
                <w:rFonts w:ascii="Cambria" w:hAnsi="Cambria"/>
                <w:bCs/>
                <w:kern w:val="28"/>
                <w:szCs w:val="24"/>
              </w:rPr>
              <w:t xml:space="preserve"> A</w:t>
            </w:r>
          </w:p>
        </w:tc>
        <w:tc>
          <w:tcPr>
            <w:tcW w:w="668" w:type="dxa"/>
          </w:tcPr>
          <w:p w:rsidR="00074365" w:rsidRDefault="00074365" w:rsidP="002216FA">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3</w:t>
            </w:r>
          </w:p>
        </w:tc>
        <w:tc>
          <w:tcPr>
            <w:tcW w:w="1147" w:type="dxa"/>
          </w:tcPr>
          <w:p w:rsidR="00074365" w:rsidRDefault="00074365" w:rsidP="002216FA">
            <w:pPr>
              <w:widowControl/>
              <w:spacing w:before="0" w:after="0" w:line="240" w:lineRule="auto"/>
              <w:ind w:firstLineChars="0" w:firstLine="0"/>
              <w:jc w:val="both"/>
              <w:rPr>
                <w:rFonts w:ascii="Cambria" w:hAnsi="Cambria"/>
                <w:bCs/>
                <w:kern w:val="28"/>
                <w:szCs w:val="24"/>
              </w:rPr>
            </w:pPr>
            <w:r>
              <w:rPr>
                <w:rFonts w:ascii="Arial" w:hAnsi="Arial" w:cs="Arial"/>
                <w:color w:val="000000"/>
                <w:sz w:val="21"/>
                <w:szCs w:val="21"/>
              </w:rPr>
              <w:t>1671080</w:t>
            </w:r>
          </w:p>
        </w:tc>
        <w:tc>
          <w:tcPr>
            <w:tcW w:w="1462" w:type="dxa"/>
          </w:tcPr>
          <w:p w:rsidR="00074365" w:rsidRDefault="00074365" w:rsidP="002216FA">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二年级</w:t>
            </w:r>
          </w:p>
        </w:tc>
      </w:tr>
      <w:tr w:rsidR="00074365" w:rsidRPr="005B3F37" w:rsidTr="00E74FF2">
        <w:trPr>
          <w:jc w:val="center"/>
        </w:trPr>
        <w:tc>
          <w:tcPr>
            <w:tcW w:w="790" w:type="dxa"/>
            <w:vMerge/>
          </w:tcPr>
          <w:p w:rsidR="00074365" w:rsidRDefault="00074365" w:rsidP="002216FA">
            <w:pPr>
              <w:widowControl/>
              <w:spacing w:before="0" w:after="0" w:line="240" w:lineRule="auto"/>
              <w:ind w:firstLineChars="0" w:firstLine="0"/>
              <w:jc w:val="both"/>
              <w:rPr>
                <w:rFonts w:ascii="Cambria" w:hAnsi="Cambria"/>
                <w:bCs/>
                <w:kern w:val="28"/>
                <w:szCs w:val="24"/>
              </w:rPr>
            </w:pPr>
          </w:p>
        </w:tc>
        <w:tc>
          <w:tcPr>
            <w:tcW w:w="1349" w:type="dxa"/>
            <w:vMerge/>
          </w:tcPr>
          <w:p w:rsidR="00074365" w:rsidRDefault="00074365" w:rsidP="002216FA">
            <w:pPr>
              <w:widowControl/>
              <w:spacing w:before="0" w:after="0" w:line="240" w:lineRule="auto"/>
              <w:ind w:firstLineChars="0" w:firstLine="0"/>
              <w:jc w:val="both"/>
              <w:rPr>
                <w:rFonts w:ascii="Cambria" w:hAnsi="Cambria"/>
                <w:bCs/>
                <w:kern w:val="28"/>
                <w:szCs w:val="24"/>
              </w:rPr>
            </w:pPr>
          </w:p>
        </w:tc>
        <w:tc>
          <w:tcPr>
            <w:tcW w:w="2115" w:type="dxa"/>
          </w:tcPr>
          <w:p w:rsidR="00074365" w:rsidRDefault="00074365" w:rsidP="002216FA">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细胞生物学</w:t>
            </w:r>
          </w:p>
        </w:tc>
        <w:tc>
          <w:tcPr>
            <w:tcW w:w="668" w:type="dxa"/>
          </w:tcPr>
          <w:p w:rsidR="00074365" w:rsidRDefault="00074365" w:rsidP="002216FA">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3</w:t>
            </w:r>
          </w:p>
        </w:tc>
        <w:tc>
          <w:tcPr>
            <w:tcW w:w="1147" w:type="dxa"/>
          </w:tcPr>
          <w:p w:rsidR="00074365" w:rsidRDefault="00074365" w:rsidP="002216FA">
            <w:pPr>
              <w:widowControl/>
              <w:spacing w:before="0" w:after="0" w:line="240" w:lineRule="auto"/>
              <w:ind w:firstLineChars="0" w:firstLine="0"/>
              <w:jc w:val="both"/>
              <w:rPr>
                <w:rFonts w:ascii="Cambria" w:hAnsi="Cambria"/>
                <w:bCs/>
                <w:kern w:val="28"/>
                <w:szCs w:val="24"/>
              </w:rPr>
            </w:pPr>
            <w:r>
              <w:rPr>
                <w:rFonts w:ascii="Arial" w:hAnsi="Arial" w:cs="Arial"/>
                <w:color w:val="000000"/>
                <w:sz w:val="21"/>
                <w:szCs w:val="21"/>
              </w:rPr>
              <w:t>1671083</w:t>
            </w:r>
          </w:p>
        </w:tc>
        <w:tc>
          <w:tcPr>
            <w:tcW w:w="1462" w:type="dxa"/>
          </w:tcPr>
          <w:p w:rsidR="00074365" w:rsidRDefault="00074365" w:rsidP="002216FA">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二年级</w:t>
            </w:r>
          </w:p>
        </w:tc>
      </w:tr>
      <w:tr w:rsidR="00074365" w:rsidRPr="005B3F37" w:rsidTr="00E74FF2">
        <w:trPr>
          <w:jc w:val="center"/>
        </w:trPr>
        <w:tc>
          <w:tcPr>
            <w:tcW w:w="790" w:type="dxa"/>
            <w:vMerge/>
          </w:tcPr>
          <w:p w:rsidR="00074365" w:rsidRDefault="00074365" w:rsidP="002216FA">
            <w:pPr>
              <w:widowControl/>
              <w:spacing w:before="0" w:after="0" w:line="240" w:lineRule="auto"/>
              <w:ind w:firstLineChars="0" w:firstLine="0"/>
              <w:jc w:val="both"/>
              <w:rPr>
                <w:rFonts w:ascii="Cambria" w:hAnsi="Cambria"/>
                <w:bCs/>
                <w:kern w:val="28"/>
                <w:szCs w:val="24"/>
              </w:rPr>
            </w:pPr>
          </w:p>
        </w:tc>
        <w:tc>
          <w:tcPr>
            <w:tcW w:w="1349" w:type="dxa"/>
            <w:vMerge/>
          </w:tcPr>
          <w:p w:rsidR="00074365" w:rsidRDefault="00074365" w:rsidP="002216FA">
            <w:pPr>
              <w:widowControl/>
              <w:spacing w:before="0" w:after="0" w:line="240" w:lineRule="auto"/>
              <w:ind w:firstLineChars="0" w:firstLine="0"/>
              <w:jc w:val="both"/>
              <w:rPr>
                <w:rFonts w:ascii="Cambria" w:hAnsi="Cambria"/>
                <w:bCs/>
                <w:kern w:val="28"/>
                <w:szCs w:val="24"/>
              </w:rPr>
            </w:pPr>
          </w:p>
        </w:tc>
        <w:tc>
          <w:tcPr>
            <w:tcW w:w="2115" w:type="dxa"/>
          </w:tcPr>
          <w:p w:rsidR="00074365" w:rsidRDefault="00074365" w:rsidP="002216FA">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遗传学</w:t>
            </w:r>
          </w:p>
        </w:tc>
        <w:tc>
          <w:tcPr>
            <w:tcW w:w="668" w:type="dxa"/>
          </w:tcPr>
          <w:p w:rsidR="00074365" w:rsidRDefault="00074365" w:rsidP="002216FA">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3</w:t>
            </w:r>
          </w:p>
        </w:tc>
        <w:tc>
          <w:tcPr>
            <w:tcW w:w="1147" w:type="dxa"/>
          </w:tcPr>
          <w:p w:rsidR="00074365" w:rsidRDefault="00074365" w:rsidP="002216FA">
            <w:pPr>
              <w:widowControl/>
              <w:spacing w:before="0" w:after="0" w:line="240" w:lineRule="auto"/>
              <w:ind w:firstLineChars="0" w:firstLine="0"/>
              <w:jc w:val="both"/>
              <w:rPr>
                <w:rFonts w:ascii="Cambria" w:hAnsi="Cambria"/>
                <w:bCs/>
                <w:kern w:val="28"/>
                <w:szCs w:val="24"/>
              </w:rPr>
            </w:pPr>
            <w:r>
              <w:rPr>
                <w:rFonts w:ascii="Arial" w:hAnsi="Arial" w:cs="Arial"/>
                <w:color w:val="000000"/>
                <w:sz w:val="21"/>
                <w:szCs w:val="21"/>
              </w:rPr>
              <w:t>6230600</w:t>
            </w:r>
          </w:p>
        </w:tc>
        <w:tc>
          <w:tcPr>
            <w:tcW w:w="1462" w:type="dxa"/>
          </w:tcPr>
          <w:p w:rsidR="00074365" w:rsidRDefault="00074365" w:rsidP="002216FA">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二年级</w:t>
            </w:r>
          </w:p>
        </w:tc>
      </w:tr>
      <w:tr w:rsidR="00074365" w:rsidRPr="005B3F37" w:rsidTr="00E74FF2">
        <w:trPr>
          <w:jc w:val="center"/>
        </w:trPr>
        <w:tc>
          <w:tcPr>
            <w:tcW w:w="790" w:type="dxa"/>
            <w:vMerge/>
          </w:tcPr>
          <w:p w:rsidR="00074365" w:rsidRDefault="00074365" w:rsidP="002216FA">
            <w:pPr>
              <w:widowControl/>
              <w:spacing w:before="0" w:after="0" w:line="240" w:lineRule="auto"/>
              <w:ind w:firstLineChars="0" w:firstLine="0"/>
              <w:jc w:val="both"/>
              <w:rPr>
                <w:rFonts w:ascii="Cambria" w:hAnsi="Cambria"/>
                <w:bCs/>
                <w:kern w:val="28"/>
                <w:szCs w:val="24"/>
              </w:rPr>
            </w:pPr>
          </w:p>
        </w:tc>
        <w:tc>
          <w:tcPr>
            <w:tcW w:w="1349" w:type="dxa"/>
            <w:vMerge w:val="restart"/>
          </w:tcPr>
          <w:p w:rsidR="00074365" w:rsidRDefault="00074365" w:rsidP="002216FA">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制药工程</w:t>
            </w:r>
          </w:p>
        </w:tc>
        <w:tc>
          <w:tcPr>
            <w:tcW w:w="2115" w:type="dxa"/>
          </w:tcPr>
          <w:p w:rsidR="00074365" w:rsidRDefault="00074365" w:rsidP="002216FA">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无机化学</w:t>
            </w:r>
            <w:r>
              <w:rPr>
                <w:rFonts w:ascii="Cambria" w:hAnsi="Cambria" w:hint="eastAsia"/>
                <w:bCs/>
                <w:kern w:val="28"/>
                <w:szCs w:val="24"/>
              </w:rPr>
              <w:t>A</w:t>
            </w:r>
          </w:p>
        </w:tc>
        <w:tc>
          <w:tcPr>
            <w:tcW w:w="668" w:type="dxa"/>
          </w:tcPr>
          <w:p w:rsidR="00074365" w:rsidRDefault="00074365" w:rsidP="002216FA">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2</w:t>
            </w:r>
          </w:p>
        </w:tc>
        <w:tc>
          <w:tcPr>
            <w:tcW w:w="1147" w:type="dxa"/>
          </w:tcPr>
          <w:p w:rsidR="00074365" w:rsidRDefault="00074365" w:rsidP="002216FA">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6231293</w:t>
            </w:r>
          </w:p>
        </w:tc>
        <w:tc>
          <w:tcPr>
            <w:tcW w:w="1462" w:type="dxa"/>
          </w:tcPr>
          <w:p w:rsidR="00074365" w:rsidRDefault="00074365" w:rsidP="002216FA">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一年级、二年级</w:t>
            </w:r>
          </w:p>
        </w:tc>
      </w:tr>
      <w:tr w:rsidR="00074365" w:rsidRPr="005B3F37" w:rsidTr="00E74FF2">
        <w:trPr>
          <w:jc w:val="center"/>
        </w:trPr>
        <w:tc>
          <w:tcPr>
            <w:tcW w:w="790" w:type="dxa"/>
            <w:vMerge/>
          </w:tcPr>
          <w:p w:rsidR="00074365" w:rsidRDefault="00074365" w:rsidP="002216FA">
            <w:pPr>
              <w:widowControl/>
              <w:spacing w:before="0" w:after="0" w:line="240" w:lineRule="auto"/>
              <w:ind w:firstLineChars="0" w:firstLine="0"/>
              <w:jc w:val="both"/>
              <w:rPr>
                <w:rFonts w:ascii="Cambria" w:hAnsi="Cambria"/>
                <w:bCs/>
                <w:kern w:val="28"/>
                <w:szCs w:val="24"/>
              </w:rPr>
            </w:pPr>
          </w:p>
        </w:tc>
        <w:tc>
          <w:tcPr>
            <w:tcW w:w="1349" w:type="dxa"/>
            <w:vMerge/>
          </w:tcPr>
          <w:p w:rsidR="00074365" w:rsidRDefault="00074365" w:rsidP="002216FA">
            <w:pPr>
              <w:widowControl/>
              <w:spacing w:before="0" w:after="0" w:line="240" w:lineRule="auto"/>
              <w:ind w:firstLineChars="0" w:firstLine="0"/>
              <w:jc w:val="both"/>
              <w:rPr>
                <w:rFonts w:ascii="Cambria" w:hAnsi="Cambria"/>
                <w:bCs/>
                <w:kern w:val="28"/>
                <w:szCs w:val="24"/>
              </w:rPr>
            </w:pPr>
          </w:p>
        </w:tc>
        <w:tc>
          <w:tcPr>
            <w:tcW w:w="2115" w:type="dxa"/>
          </w:tcPr>
          <w:p w:rsidR="00074365" w:rsidRDefault="00074365" w:rsidP="002216FA">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有机化学</w:t>
            </w:r>
            <w:r>
              <w:rPr>
                <w:rFonts w:ascii="Cambria" w:hAnsi="Cambria"/>
                <w:bCs/>
                <w:kern w:val="28"/>
                <w:szCs w:val="24"/>
              </w:rPr>
              <w:t>I</w:t>
            </w:r>
          </w:p>
        </w:tc>
        <w:tc>
          <w:tcPr>
            <w:tcW w:w="668" w:type="dxa"/>
          </w:tcPr>
          <w:p w:rsidR="00074365" w:rsidRDefault="00074365" w:rsidP="002216FA">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2</w:t>
            </w:r>
          </w:p>
        </w:tc>
        <w:tc>
          <w:tcPr>
            <w:tcW w:w="1147" w:type="dxa"/>
          </w:tcPr>
          <w:p w:rsidR="00074365" w:rsidRDefault="00074365" w:rsidP="002216FA">
            <w:pPr>
              <w:widowControl/>
              <w:spacing w:before="0" w:after="0" w:line="240" w:lineRule="auto"/>
              <w:ind w:firstLineChars="0" w:firstLine="0"/>
              <w:jc w:val="both"/>
              <w:rPr>
                <w:rFonts w:ascii="Cambria" w:hAnsi="Cambria"/>
                <w:bCs/>
                <w:kern w:val="28"/>
                <w:szCs w:val="24"/>
              </w:rPr>
            </w:pPr>
            <w:r>
              <w:rPr>
                <w:rFonts w:ascii="Arial" w:hAnsi="Arial" w:cs="Arial"/>
                <w:color w:val="000000"/>
                <w:sz w:val="21"/>
                <w:szCs w:val="21"/>
              </w:rPr>
              <w:t>1671034</w:t>
            </w:r>
          </w:p>
        </w:tc>
        <w:tc>
          <w:tcPr>
            <w:tcW w:w="1462" w:type="dxa"/>
          </w:tcPr>
          <w:p w:rsidR="00074365" w:rsidRDefault="00074365" w:rsidP="002216FA">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一年级、二年级</w:t>
            </w:r>
          </w:p>
        </w:tc>
      </w:tr>
      <w:tr w:rsidR="003E6E86" w:rsidRPr="005B3F37" w:rsidTr="00E74FF2">
        <w:trPr>
          <w:jc w:val="center"/>
        </w:trPr>
        <w:tc>
          <w:tcPr>
            <w:tcW w:w="790" w:type="dxa"/>
            <w:vMerge/>
          </w:tcPr>
          <w:p w:rsidR="003E6E86" w:rsidRDefault="003E6E86" w:rsidP="002216FA">
            <w:pPr>
              <w:widowControl/>
              <w:spacing w:before="0" w:after="0" w:line="240" w:lineRule="auto"/>
              <w:ind w:firstLineChars="0" w:firstLine="0"/>
              <w:jc w:val="both"/>
              <w:rPr>
                <w:rFonts w:ascii="Cambria" w:hAnsi="Cambria"/>
                <w:bCs/>
                <w:kern w:val="28"/>
                <w:szCs w:val="24"/>
              </w:rPr>
            </w:pPr>
          </w:p>
        </w:tc>
        <w:tc>
          <w:tcPr>
            <w:tcW w:w="1349" w:type="dxa"/>
            <w:vMerge/>
          </w:tcPr>
          <w:p w:rsidR="003E6E86" w:rsidRDefault="003E6E86" w:rsidP="002216FA">
            <w:pPr>
              <w:widowControl/>
              <w:spacing w:before="0" w:after="0" w:line="240" w:lineRule="auto"/>
              <w:ind w:firstLineChars="0" w:firstLine="0"/>
              <w:jc w:val="both"/>
              <w:rPr>
                <w:rFonts w:ascii="Cambria" w:hAnsi="Cambria"/>
                <w:bCs/>
                <w:kern w:val="28"/>
                <w:szCs w:val="24"/>
              </w:rPr>
            </w:pPr>
          </w:p>
        </w:tc>
        <w:tc>
          <w:tcPr>
            <w:tcW w:w="2115" w:type="dxa"/>
          </w:tcPr>
          <w:p w:rsidR="003E6E86" w:rsidRDefault="003E6E86" w:rsidP="001A0856">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有机化学</w:t>
            </w:r>
            <w:r>
              <w:rPr>
                <w:rFonts w:ascii="Cambria" w:hAnsi="Cambria"/>
                <w:bCs/>
                <w:kern w:val="28"/>
                <w:szCs w:val="24"/>
              </w:rPr>
              <w:t>II</w:t>
            </w:r>
          </w:p>
        </w:tc>
        <w:tc>
          <w:tcPr>
            <w:tcW w:w="668" w:type="dxa"/>
          </w:tcPr>
          <w:p w:rsidR="003E6E86" w:rsidRDefault="003E6E86" w:rsidP="001A0856">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2</w:t>
            </w:r>
          </w:p>
        </w:tc>
        <w:tc>
          <w:tcPr>
            <w:tcW w:w="1147" w:type="dxa"/>
          </w:tcPr>
          <w:p w:rsidR="003E6E86" w:rsidRDefault="003E6E86" w:rsidP="001A0856">
            <w:pPr>
              <w:widowControl/>
              <w:spacing w:before="0" w:after="0" w:line="240" w:lineRule="auto"/>
              <w:ind w:firstLineChars="0" w:firstLine="0"/>
              <w:jc w:val="both"/>
              <w:rPr>
                <w:rFonts w:ascii="Cambria" w:hAnsi="Cambria"/>
                <w:bCs/>
                <w:kern w:val="28"/>
                <w:szCs w:val="24"/>
              </w:rPr>
            </w:pPr>
            <w:r>
              <w:rPr>
                <w:rFonts w:ascii="Arial" w:hAnsi="Arial" w:cs="Arial"/>
                <w:color w:val="000000"/>
                <w:sz w:val="21"/>
                <w:szCs w:val="21"/>
              </w:rPr>
              <w:t>1671037</w:t>
            </w:r>
          </w:p>
        </w:tc>
        <w:tc>
          <w:tcPr>
            <w:tcW w:w="1462" w:type="dxa"/>
          </w:tcPr>
          <w:p w:rsidR="003E6E86" w:rsidRDefault="003E6E86" w:rsidP="001A0856">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二年级</w:t>
            </w:r>
          </w:p>
        </w:tc>
      </w:tr>
      <w:tr w:rsidR="007600D1" w:rsidRPr="005B3F37" w:rsidTr="00E74FF2">
        <w:trPr>
          <w:jc w:val="center"/>
        </w:trPr>
        <w:tc>
          <w:tcPr>
            <w:tcW w:w="790" w:type="dxa"/>
            <w:vMerge/>
          </w:tcPr>
          <w:p w:rsidR="007600D1" w:rsidRDefault="007600D1" w:rsidP="002216FA">
            <w:pPr>
              <w:widowControl/>
              <w:spacing w:before="0" w:after="0" w:line="240" w:lineRule="auto"/>
              <w:ind w:firstLineChars="0" w:firstLine="0"/>
              <w:jc w:val="both"/>
              <w:rPr>
                <w:rFonts w:ascii="Cambria" w:hAnsi="Cambria"/>
                <w:bCs/>
                <w:kern w:val="28"/>
                <w:szCs w:val="24"/>
              </w:rPr>
            </w:pPr>
          </w:p>
        </w:tc>
        <w:tc>
          <w:tcPr>
            <w:tcW w:w="1349" w:type="dxa"/>
            <w:vMerge/>
          </w:tcPr>
          <w:p w:rsidR="007600D1" w:rsidRDefault="007600D1" w:rsidP="002216FA">
            <w:pPr>
              <w:widowControl/>
              <w:spacing w:before="0" w:after="0" w:line="240" w:lineRule="auto"/>
              <w:ind w:firstLineChars="0" w:firstLine="0"/>
              <w:jc w:val="both"/>
              <w:rPr>
                <w:rFonts w:ascii="Cambria" w:hAnsi="Cambria"/>
                <w:bCs/>
                <w:kern w:val="28"/>
                <w:szCs w:val="24"/>
              </w:rPr>
            </w:pPr>
          </w:p>
        </w:tc>
        <w:tc>
          <w:tcPr>
            <w:tcW w:w="2115" w:type="dxa"/>
          </w:tcPr>
          <w:p w:rsidR="007600D1" w:rsidRDefault="007600D1" w:rsidP="00AB30BA">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医药与人类社会</w:t>
            </w:r>
          </w:p>
        </w:tc>
        <w:tc>
          <w:tcPr>
            <w:tcW w:w="668" w:type="dxa"/>
          </w:tcPr>
          <w:p w:rsidR="007600D1" w:rsidRDefault="007600D1" w:rsidP="00AB30BA">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2</w:t>
            </w:r>
          </w:p>
        </w:tc>
        <w:tc>
          <w:tcPr>
            <w:tcW w:w="1147" w:type="dxa"/>
          </w:tcPr>
          <w:p w:rsidR="007600D1" w:rsidRDefault="007600D1" w:rsidP="00AB30BA">
            <w:pPr>
              <w:widowControl/>
              <w:spacing w:before="0" w:after="0" w:line="240" w:lineRule="auto"/>
              <w:ind w:firstLineChars="0" w:firstLine="0"/>
              <w:jc w:val="both"/>
              <w:rPr>
                <w:rFonts w:ascii="Cambria" w:hAnsi="Cambria"/>
                <w:bCs/>
                <w:kern w:val="28"/>
                <w:szCs w:val="24"/>
              </w:rPr>
            </w:pPr>
            <w:r>
              <w:rPr>
                <w:rFonts w:ascii="Arial" w:hAnsi="Arial" w:cs="Arial"/>
                <w:color w:val="000000"/>
                <w:sz w:val="21"/>
                <w:szCs w:val="21"/>
              </w:rPr>
              <w:t>1671075</w:t>
            </w:r>
          </w:p>
        </w:tc>
        <w:tc>
          <w:tcPr>
            <w:tcW w:w="1462" w:type="dxa"/>
          </w:tcPr>
          <w:p w:rsidR="007600D1" w:rsidRDefault="007600D1" w:rsidP="00AB30BA">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一年级、二年级</w:t>
            </w:r>
          </w:p>
        </w:tc>
      </w:tr>
      <w:tr w:rsidR="007600D1" w:rsidRPr="005B3F37" w:rsidTr="00E74FF2">
        <w:trPr>
          <w:jc w:val="center"/>
        </w:trPr>
        <w:tc>
          <w:tcPr>
            <w:tcW w:w="790" w:type="dxa"/>
            <w:vMerge/>
          </w:tcPr>
          <w:p w:rsidR="007600D1" w:rsidRDefault="007600D1" w:rsidP="002216FA">
            <w:pPr>
              <w:widowControl/>
              <w:spacing w:before="0" w:after="0" w:line="240" w:lineRule="auto"/>
              <w:ind w:firstLineChars="0" w:firstLine="0"/>
              <w:jc w:val="both"/>
              <w:rPr>
                <w:rFonts w:ascii="Cambria" w:hAnsi="Cambria"/>
                <w:bCs/>
                <w:kern w:val="28"/>
                <w:szCs w:val="24"/>
              </w:rPr>
            </w:pPr>
          </w:p>
        </w:tc>
        <w:tc>
          <w:tcPr>
            <w:tcW w:w="1349" w:type="dxa"/>
            <w:vMerge/>
          </w:tcPr>
          <w:p w:rsidR="007600D1" w:rsidRDefault="007600D1" w:rsidP="002216FA">
            <w:pPr>
              <w:widowControl/>
              <w:spacing w:before="0" w:after="0" w:line="240" w:lineRule="auto"/>
              <w:ind w:firstLineChars="0" w:firstLine="0"/>
              <w:jc w:val="both"/>
              <w:rPr>
                <w:rFonts w:ascii="Cambria" w:hAnsi="Cambria"/>
                <w:bCs/>
                <w:kern w:val="28"/>
                <w:szCs w:val="24"/>
              </w:rPr>
            </w:pPr>
          </w:p>
        </w:tc>
        <w:tc>
          <w:tcPr>
            <w:tcW w:w="2115" w:type="dxa"/>
          </w:tcPr>
          <w:p w:rsidR="007600D1" w:rsidRDefault="007600D1" w:rsidP="001D737C">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高等数学</w:t>
            </w:r>
            <w:r>
              <w:rPr>
                <w:rFonts w:ascii="Cambria" w:hAnsi="Cambria" w:hint="eastAsia"/>
                <w:bCs/>
                <w:kern w:val="28"/>
                <w:szCs w:val="24"/>
              </w:rPr>
              <w:t>C</w:t>
            </w:r>
            <w:r>
              <w:rPr>
                <w:rFonts w:ascii="Cambria" w:hAnsi="Cambria"/>
                <w:bCs/>
                <w:kern w:val="28"/>
                <w:szCs w:val="24"/>
              </w:rPr>
              <w:t>I</w:t>
            </w:r>
          </w:p>
        </w:tc>
        <w:tc>
          <w:tcPr>
            <w:tcW w:w="668" w:type="dxa"/>
          </w:tcPr>
          <w:p w:rsidR="007600D1" w:rsidRDefault="007600D1" w:rsidP="001D737C">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4</w:t>
            </w:r>
          </w:p>
        </w:tc>
        <w:tc>
          <w:tcPr>
            <w:tcW w:w="1147" w:type="dxa"/>
          </w:tcPr>
          <w:p w:rsidR="007600D1" w:rsidRPr="00562080" w:rsidRDefault="007600D1" w:rsidP="001D737C">
            <w:pPr>
              <w:widowControl/>
              <w:spacing w:before="0" w:after="0" w:line="240" w:lineRule="auto"/>
              <w:ind w:firstLineChars="0" w:firstLine="0"/>
              <w:jc w:val="both"/>
              <w:rPr>
                <w:rFonts w:ascii="Arial" w:hAnsi="Arial" w:cs="Arial"/>
                <w:color w:val="000000"/>
                <w:sz w:val="21"/>
                <w:szCs w:val="21"/>
              </w:rPr>
            </w:pPr>
            <w:r>
              <w:rPr>
                <w:rFonts w:ascii="Arial" w:hAnsi="Arial" w:cs="Arial" w:hint="eastAsia"/>
                <w:color w:val="000000"/>
                <w:sz w:val="21"/>
                <w:szCs w:val="21"/>
              </w:rPr>
              <w:t>3271064</w:t>
            </w:r>
          </w:p>
        </w:tc>
        <w:tc>
          <w:tcPr>
            <w:tcW w:w="1462" w:type="dxa"/>
          </w:tcPr>
          <w:p w:rsidR="007600D1" w:rsidRDefault="007600D1" w:rsidP="001D737C">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一年级、二年级</w:t>
            </w:r>
          </w:p>
        </w:tc>
      </w:tr>
      <w:tr w:rsidR="007600D1" w:rsidRPr="005B3F37" w:rsidTr="00E74FF2">
        <w:trPr>
          <w:jc w:val="center"/>
        </w:trPr>
        <w:tc>
          <w:tcPr>
            <w:tcW w:w="790" w:type="dxa"/>
            <w:vMerge/>
          </w:tcPr>
          <w:p w:rsidR="007600D1" w:rsidRDefault="007600D1" w:rsidP="002216FA">
            <w:pPr>
              <w:widowControl/>
              <w:spacing w:before="0" w:after="0" w:line="240" w:lineRule="auto"/>
              <w:ind w:firstLineChars="0" w:firstLine="0"/>
              <w:jc w:val="both"/>
              <w:rPr>
                <w:rFonts w:ascii="Cambria" w:hAnsi="Cambria"/>
                <w:bCs/>
                <w:kern w:val="28"/>
                <w:szCs w:val="24"/>
              </w:rPr>
            </w:pPr>
          </w:p>
        </w:tc>
        <w:tc>
          <w:tcPr>
            <w:tcW w:w="1349" w:type="dxa"/>
            <w:vMerge/>
          </w:tcPr>
          <w:p w:rsidR="007600D1" w:rsidRDefault="007600D1" w:rsidP="002216FA">
            <w:pPr>
              <w:widowControl/>
              <w:spacing w:before="0" w:after="0" w:line="240" w:lineRule="auto"/>
              <w:ind w:firstLineChars="0" w:firstLine="0"/>
              <w:jc w:val="both"/>
              <w:rPr>
                <w:rFonts w:ascii="Cambria" w:hAnsi="Cambria"/>
                <w:bCs/>
                <w:kern w:val="28"/>
                <w:szCs w:val="24"/>
              </w:rPr>
            </w:pPr>
          </w:p>
        </w:tc>
        <w:tc>
          <w:tcPr>
            <w:tcW w:w="2115" w:type="dxa"/>
          </w:tcPr>
          <w:p w:rsidR="007600D1" w:rsidRDefault="007600D1" w:rsidP="001D737C">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高等数学</w:t>
            </w:r>
            <w:r>
              <w:rPr>
                <w:rFonts w:ascii="Cambria" w:hAnsi="Cambria" w:hint="eastAsia"/>
                <w:bCs/>
                <w:kern w:val="28"/>
                <w:szCs w:val="24"/>
              </w:rPr>
              <w:t>C</w:t>
            </w:r>
            <w:r>
              <w:rPr>
                <w:rFonts w:ascii="Cambria" w:hAnsi="Cambria"/>
                <w:bCs/>
                <w:kern w:val="28"/>
                <w:szCs w:val="24"/>
              </w:rPr>
              <w:t>II</w:t>
            </w:r>
          </w:p>
        </w:tc>
        <w:tc>
          <w:tcPr>
            <w:tcW w:w="668" w:type="dxa"/>
          </w:tcPr>
          <w:p w:rsidR="007600D1" w:rsidRDefault="007600D1" w:rsidP="001D737C">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4</w:t>
            </w:r>
          </w:p>
        </w:tc>
        <w:tc>
          <w:tcPr>
            <w:tcW w:w="1147" w:type="dxa"/>
          </w:tcPr>
          <w:p w:rsidR="007600D1" w:rsidRPr="00562080" w:rsidRDefault="007600D1" w:rsidP="001D737C">
            <w:pPr>
              <w:widowControl/>
              <w:spacing w:before="0" w:after="0" w:line="240" w:lineRule="auto"/>
              <w:ind w:firstLineChars="0" w:firstLine="0"/>
              <w:jc w:val="both"/>
              <w:rPr>
                <w:rFonts w:ascii="Arial" w:hAnsi="Arial" w:cs="Arial"/>
                <w:color w:val="000000"/>
                <w:sz w:val="21"/>
                <w:szCs w:val="21"/>
              </w:rPr>
            </w:pPr>
            <w:r>
              <w:rPr>
                <w:rFonts w:ascii="Arial" w:hAnsi="Arial" w:cs="Arial" w:hint="eastAsia"/>
                <w:color w:val="000000"/>
                <w:sz w:val="21"/>
                <w:szCs w:val="21"/>
              </w:rPr>
              <w:t>1271040</w:t>
            </w:r>
          </w:p>
        </w:tc>
        <w:tc>
          <w:tcPr>
            <w:tcW w:w="1462" w:type="dxa"/>
          </w:tcPr>
          <w:p w:rsidR="007600D1" w:rsidRDefault="007600D1" w:rsidP="001D737C">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一年级、二年级</w:t>
            </w:r>
          </w:p>
        </w:tc>
      </w:tr>
      <w:tr w:rsidR="007600D1" w:rsidRPr="005B3F37" w:rsidTr="00E74FF2">
        <w:trPr>
          <w:jc w:val="center"/>
        </w:trPr>
        <w:tc>
          <w:tcPr>
            <w:tcW w:w="790" w:type="dxa"/>
            <w:vMerge/>
          </w:tcPr>
          <w:p w:rsidR="007600D1" w:rsidRDefault="007600D1" w:rsidP="002216FA">
            <w:pPr>
              <w:widowControl/>
              <w:spacing w:before="0" w:after="0" w:line="240" w:lineRule="auto"/>
              <w:ind w:firstLineChars="0" w:firstLine="0"/>
              <w:jc w:val="both"/>
              <w:rPr>
                <w:rFonts w:ascii="Cambria" w:hAnsi="Cambria"/>
                <w:bCs/>
                <w:kern w:val="28"/>
                <w:szCs w:val="24"/>
              </w:rPr>
            </w:pPr>
          </w:p>
        </w:tc>
        <w:tc>
          <w:tcPr>
            <w:tcW w:w="1349" w:type="dxa"/>
            <w:vMerge/>
          </w:tcPr>
          <w:p w:rsidR="007600D1" w:rsidRDefault="007600D1" w:rsidP="002216FA">
            <w:pPr>
              <w:widowControl/>
              <w:spacing w:before="0" w:after="0" w:line="240" w:lineRule="auto"/>
              <w:ind w:firstLineChars="0" w:firstLine="0"/>
              <w:jc w:val="both"/>
              <w:rPr>
                <w:rFonts w:ascii="Cambria" w:hAnsi="Cambria"/>
                <w:bCs/>
                <w:kern w:val="28"/>
                <w:szCs w:val="24"/>
              </w:rPr>
            </w:pPr>
          </w:p>
        </w:tc>
        <w:tc>
          <w:tcPr>
            <w:tcW w:w="2115" w:type="dxa"/>
          </w:tcPr>
          <w:p w:rsidR="007600D1" w:rsidRDefault="007600D1" w:rsidP="0000590F">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解剖生理学</w:t>
            </w:r>
          </w:p>
        </w:tc>
        <w:tc>
          <w:tcPr>
            <w:tcW w:w="668" w:type="dxa"/>
          </w:tcPr>
          <w:p w:rsidR="007600D1" w:rsidRDefault="007600D1" w:rsidP="0000590F">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3</w:t>
            </w:r>
          </w:p>
        </w:tc>
        <w:tc>
          <w:tcPr>
            <w:tcW w:w="1147" w:type="dxa"/>
          </w:tcPr>
          <w:p w:rsidR="007600D1" w:rsidRDefault="007600D1" w:rsidP="0000590F">
            <w:pPr>
              <w:widowControl/>
              <w:spacing w:before="0" w:after="0" w:line="240" w:lineRule="auto"/>
              <w:ind w:firstLineChars="0" w:firstLine="0"/>
              <w:jc w:val="both"/>
              <w:rPr>
                <w:rFonts w:ascii="Cambria" w:hAnsi="Cambria"/>
                <w:bCs/>
                <w:kern w:val="28"/>
                <w:szCs w:val="24"/>
              </w:rPr>
            </w:pPr>
            <w:r>
              <w:rPr>
                <w:rFonts w:ascii="Arial" w:hAnsi="Arial" w:cs="Arial"/>
                <w:color w:val="000000"/>
                <w:sz w:val="21"/>
                <w:szCs w:val="21"/>
              </w:rPr>
              <w:t>6330363</w:t>
            </w:r>
          </w:p>
        </w:tc>
        <w:tc>
          <w:tcPr>
            <w:tcW w:w="1462" w:type="dxa"/>
          </w:tcPr>
          <w:p w:rsidR="007600D1" w:rsidRDefault="007600D1" w:rsidP="0000590F">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二年级</w:t>
            </w:r>
          </w:p>
        </w:tc>
      </w:tr>
      <w:tr w:rsidR="007600D1" w:rsidRPr="005B3F37" w:rsidTr="00E74FF2">
        <w:trPr>
          <w:jc w:val="center"/>
        </w:trPr>
        <w:tc>
          <w:tcPr>
            <w:tcW w:w="790" w:type="dxa"/>
            <w:vMerge/>
          </w:tcPr>
          <w:p w:rsidR="007600D1" w:rsidRDefault="007600D1" w:rsidP="002216FA">
            <w:pPr>
              <w:widowControl/>
              <w:spacing w:before="0" w:after="0" w:line="240" w:lineRule="auto"/>
              <w:ind w:firstLineChars="0" w:firstLine="0"/>
              <w:jc w:val="both"/>
              <w:rPr>
                <w:rFonts w:ascii="Cambria" w:hAnsi="Cambria"/>
                <w:bCs/>
                <w:kern w:val="28"/>
                <w:szCs w:val="24"/>
              </w:rPr>
            </w:pPr>
          </w:p>
        </w:tc>
        <w:tc>
          <w:tcPr>
            <w:tcW w:w="1349" w:type="dxa"/>
            <w:vMerge/>
          </w:tcPr>
          <w:p w:rsidR="007600D1" w:rsidRDefault="007600D1" w:rsidP="002216FA">
            <w:pPr>
              <w:widowControl/>
              <w:spacing w:before="0" w:after="0" w:line="240" w:lineRule="auto"/>
              <w:ind w:firstLineChars="0" w:firstLine="0"/>
              <w:jc w:val="both"/>
              <w:rPr>
                <w:rFonts w:ascii="Cambria" w:hAnsi="Cambria"/>
                <w:bCs/>
                <w:kern w:val="28"/>
                <w:szCs w:val="24"/>
              </w:rPr>
            </w:pPr>
          </w:p>
        </w:tc>
        <w:tc>
          <w:tcPr>
            <w:tcW w:w="2115" w:type="dxa"/>
            <w:vAlign w:val="center"/>
          </w:tcPr>
          <w:p w:rsidR="007600D1" w:rsidRDefault="007600D1" w:rsidP="002216FA">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天然药物化学</w:t>
            </w:r>
            <w:r>
              <w:rPr>
                <w:rFonts w:ascii="Cambria" w:hAnsi="Cambria"/>
                <w:bCs/>
                <w:kern w:val="28"/>
                <w:szCs w:val="24"/>
              </w:rPr>
              <w:t xml:space="preserve"> A</w:t>
            </w:r>
          </w:p>
        </w:tc>
        <w:tc>
          <w:tcPr>
            <w:tcW w:w="668" w:type="dxa"/>
          </w:tcPr>
          <w:p w:rsidR="007600D1" w:rsidRDefault="007600D1" w:rsidP="002216FA">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3</w:t>
            </w:r>
          </w:p>
        </w:tc>
        <w:tc>
          <w:tcPr>
            <w:tcW w:w="1147" w:type="dxa"/>
          </w:tcPr>
          <w:p w:rsidR="007600D1" w:rsidRDefault="007600D1" w:rsidP="002216FA">
            <w:pPr>
              <w:widowControl/>
              <w:spacing w:before="0" w:after="0" w:line="240" w:lineRule="auto"/>
              <w:ind w:firstLineChars="0" w:firstLine="0"/>
              <w:jc w:val="both"/>
              <w:rPr>
                <w:rFonts w:ascii="Cambria" w:hAnsi="Cambria"/>
                <w:bCs/>
                <w:kern w:val="28"/>
                <w:szCs w:val="24"/>
              </w:rPr>
            </w:pPr>
            <w:r>
              <w:rPr>
                <w:rFonts w:ascii="Arial" w:hAnsi="Arial" w:cs="Arial"/>
                <w:color w:val="000000"/>
                <w:sz w:val="21"/>
                <w:szCs w:val="21"/>
              </w:rPr>
              <w:t>1671082</w:t>
            </w:r>
          </w:p>
        </w:tc>
        <w:tc>
          <w:tcPr>
            <w:tcW w:w="1462" w:type="dxa"/>
          </w:tcPr>
          <w:p w:rsidR="007600D1" w:rsidRDefault="007600D1" w:rsidP="002216FA">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二年级</w:t>
            </w:r>
          </w:p>
        </w:tc>
      </w:tr>
      <w:tr w:rsidR="007600D1" w:rsidRPr="005B3F37" w:rsidTr="00447F33">
        <w:trPr>
          <w:jc w:val="center"/>
        </w:trPr>
        <w:tc>
          <w:tcPr>
            <w:tcW w:w="790" w:type="dxa"/>
            <w:vMerge/>
          </w:tcPr>
          <w:p w:rsidR="007600D1" w:rsidRDefault="007600D1" w:rsidP="002216FA">
            <w:pPr>
              <w:widowControl/>
              <w:spacing w:before="0" w:after="0" w:line="240" w:lineRule="auto"/>
              <w:ind w:firstLineChars="0" w:firstLine="0"/>
              <w:jc w:val="both"/>
              <w:rPr>
                <w:rFonts w:ascii="Cambria" w:hAnsi="Cambria"/>
                <w:bCs/>
                <w:kern w:val="28"/>
                <w:szCs w:val="24"/>
              </w:rPr>
            </w:pPr>
          </w:p>
        </w:tc>
        <w:tc>
          <w:tcPr>
            <w:tcW w:w="1349" w:type="dxa"/>
            <w:vMerge w:val="restart"/>
          </w:tcPr>
          <w:p w:rsidR="007600D1" w:rsidRDefault="007600D1" w:rsidP="002216FA">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生物工程</w:t>
            </w:r>
            <w:r>
              <w:rPr>
                <w:rFonts w:ascii="Cambria" w:hAnsi="Cambria" w:hint="eastAsia"/>
                <w:bCs/>
                <w:kern w:val="28"/>
                <w:szCs w:val="24"/>
              </w:rPr>
              <w:lastRenderedPageBreak/>
              <w:t>（中外合作办学）</w:t>
            </w:r>
          </w:p>
        </w:tc>
        <w:tc>
          <w:tcPr>
            <w:tcW w:w="2115" w:type="dxa"/>
          </w:tcPr>
          <w:p w:rsidR="007600D1" w:rsidRDefault="007600D1" w:rsidP="001A0856">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lastRenderedPageBreak/>
              <w:t>生物学原理</w:t>
            </w:r>
            <w:r>
              <w:rPr>
                <w:rFonts w:ascii="Cambria" w:hAnsi="Cambria"/>
                <w:bCs/>
                <w:kern w:val="28"/>
                <w:szCs w:val="24"/>
              </w:rPr>
              <w:t>II</w:t>
            </w:r>
          </w:p>
        </w:tc>
        <w:tc>
          <w:tcPr>
            <w:tcW w:w="668" w:type="dxa"/>
          </w:tcPr>
          <w:p w:rsidR="007600D1" w:rsidRDefault="007600D1" w:rsidP="001A0856">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3</w:t>
            </w:r>
          </w:p>
        </w:tc>
        <w:tc>
          <w:tcPr>
            <w:tcW w:w="1147" w:type="dxa"/>
          </w:tcPr>
          <w:p w:rsidR="007600D1" w:rsidRPr="00074365" w:rsidRDefault="007600D1" w:rsidP="00FA70BB">
            <w:pPr>
              <w:widowControl/>
              <w:spacing w:before="0" w:after="0" w:line="240" w:lineRule="auto"/>
              <w:ind w:firstLineChars="0" w:firstLine="0"/>
              <w:jc w:val="both"/>
              <w:rPr>
                <w:rFonts w:ascii="Arial" w:hAnsi="Arial" w:cs="Arial"/>
                <w:color w:val="000000"/>
                <w:sz w:val="21"/>
                <w:szCs w:val="21"/>
              </w:rPr>
            </w:pPr>
            <w:r w:rsidRPr="00074365">
              <w:rPr>
                <w:rFonts w:ascii="Arial" w:hAnsi="Arial" w:cs="Arial"/>
                <w:color w:val="000000"/>
                <w:sz w:val="21"/>
                <w:szCs w:val="21"/>
              </w:rPr>
              <w:t>1673044</w:t>
            </w:r>
          </w:p>
        </w:tc>
        <w:tc>
          <w:tcPr>
            <w:tcW w:w="1462" w:type="dxa"/>
          </w:tcPr>
          <w:p w:rsidR="007600D1" w:rsidRDefault="007600D1" w:rsidP="007D6F9D">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一年级</w:t>
            </w:r>
          </w:p>
        </w:tc>
      </w:tr>
      <w:tr w:rsidR="007600D1" w:rsidRPr="005B3F37" w:rsidTr="00447F33">
        <w:trPr>
          <w:jc w:val="center"/>
        </w:trPr>
        <w:tc>
          <w:tcPr>
            <w:tcW w:w="790" w:type="dxa"/>
            <w:vMerge/>
          </w:tcPr>
          <w:p w:rsidR="007600D1" w:rsidRDefault="007600D1" w:rsidP="002216FA">
            <w:pPr>
              <w:widowControl/>
              <w:spacing w:before="0" w:after="0" w:line="240" w:lineRule="auto"/>
              <w:ind w:firstLineChars="0" w:firstLine="0"/>
              <w:jc w:val="both"/>
              <w:rPr>
                <w:rFonts w:ascii="Cambria" w:hAnsi="Cambria"/>
                <w:bCs/>
                <w:kern w:val="28"/>
                <w:szCs w:val="24"/>
              </w:rPr>
            </w:pPr>
          </w:p>
        </w:tc>
        <w:tc>
          <w:tcPr>
            <w:tcW w:w="1349" w:type="dxa"/>
            <w:vMerge/>
          </w:tcPr>
          <w:p w:rsidR="007600D1" w:rsidRDefault="007600D1" w:rsidP="002216FA">
            <w:pPr>
              <w:widowControl/>
              <w:spacing w:before="0" w:after="0" w:line="240" w:lineRule="auto"/>
              <w:ind w:firstLineChars="0" w:firstLine="0"/>
              <w:jc w:val="both"/>
              <w:rPr>
                <w:rFonts w:ascii="Cambria" w:hAnsi="Cambria"/>
                <w:bCs/>
                <w:kern w:val="28"/>
                <w:szCs w:val="24"/>
              </w:rPr>
            </w:pPr>
          </w:p>
        </w:tc>
        <w:tc>
          <w:tcPr>
            <w:tcW w:w="2115" w:type="dxa"/>
          </w:tcPr>
          <w:p w:rsidR="007600D1" w:rsidRDefault="007600D1" w:rsidP="007D6F9D">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生物学原理实验</w:t>
            </w:r>
          </w:p>
        </w:tc>
        <w:tc>
          <w:tcPr>
            <w:tcW w:w="668" w:type="dxa"/>
          </w:tcPr>
          <w:p w:rsidR="007600D1" w:rsidRDefault="007600D1" w:rsidP="001A0856">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2</w:t>
            </w:r>
          </w:p>
        </w:tc>
        <w:tc>
          <w:tcPr>
            <w:tcW w:w="1147" w:type="dxa"/>
          </w:tcPr>
          <w:p w:rsidR="007600D1" w:rsidRPr="00074365" w:rsidRDefault="007600D1" w:rsidP="00FA70BB">
            <w:pPr>
              <w:widowControl/>
              <w:spacing w:before="0" w:after="0" w:line="240" w:lineRule="auto"/>
              <w:ind w:firstLineChars="0" w:firstLine="0"/>
              <w:jc w:val="both"/>
              <w:rPr>
                <w:rFonts w:ascii="Arial" w:hAnsi="Arial" w:cs="Arial"/>
                <w:color w:val="000000"/>
                <w:sz w:val="21"/>
                <w:szCs w:val="21"/>
              </w:rPr>
            </w:pPr>
            <w:r w:rsidRPr="00074365">
              <w:rPr>
                <w:rFonts w:ascii="Arial" w:hAnsi="Arial" w:cs="Arial"/>
                <w:color w:val="000000"/>
                <w:sz w:val="21"/>
                <w:szCs w:val="21"/>
              </w:rPr>
              <w:t>1674018</w:t>
            </w:r>
          </w:p>
        </w:tc>
        <w:tc>
          <w:tcPr>
            <w:tcW w:w="1462" w:type="dxa"/>
          </w:tcPr>
          <w:p w:rsidR="007600D1" w:rsidRDefault="007600D1" w:rsidP="007D6F9D">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一年级</w:t>
            </w:r>
          </w:p>
        </w:tc>
      </w:tr>
      <w:tr w:rsidR="007600D1" w:rsidRPr="005B3F37" w:rsidTr="00447F33">
        <w:trPr>
          <w:jc w:val="center"/>
        </w:trPr>
        <w:tc>
          <w:tcPr>
            <w:tcW w:w="790" w:type="dxa"/>
            <w:vMerge/>
          </w:tcPr>
          <w:p w:rsidR="007600D1" w:rsidRDefault="007600D1" w:rsidP="002216FA">
            <w:pPr>
              <w:widowControl/>
              <w:spacing w:before="0" w:after="0" w:line="240" w:lineRule="auto"/>
              <w:ind w:firstLineChars="0" w:firstLine="0"/>
              <w:jc w:val="both"/>
              <w:rPr>
                <w:rFonts w:ascii="Cambria" w:hAnsi="Cambria"/>
                <w:bCs/>
                <w:kern w:val="28"/>
                <w:szCs w:val="24"/>
              </w:rPr>
            </w:pPr>
          </w:p>
        </w:tc>
        <w:tc>
          <w:tcPr>
            <w:tcW w:w="1349" w:type="dxa"/>
            <w:vMerge/>
          </w:tcPr>
          <w:p w:rsidR="007600D1" w:rsidRDefault="007600D1" w:rsidP="002216FA">
            <w:pPr>
              <w:widowControl/>
              <w:spacing w:before="0" w:after="0" w:line="240" w:lineRule="auto"/>
              <w:ind w:firstLineChars="0" w:firstLine="0"/>
              <w:jc w:val="both"/>
              <w:rPr>
                <w:rFonts w:ascii="Cambria" w:hAnsi="Cambria"/>
                <w:bCs/>
                <w:kern w:val="28"/>
                <w:szCs w:val="24"/>
              </w:rPr>
            </w:pPr>
          </w:p>
        </w:tc>
        <w:tc>
          <w:tcPr>
            <w:tcW w:w="2115" w:type="dxa"/>
          </w:tcPr>
          <w:p w:rsidR="007600D1" w:rsidRDefault="007600D1" w:rsidP="001A0856">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化学原理</w:t>
            </w:r>
            <w:r>
              <w:rPr>
                <w:rFonts w:ascii="Cambria" w:hAnsi="Cambria"/>
                <w:bCs/>
                <w:kern w:val="28"/>
                <w:szCs w:val="24"/>
              </w:rPr>
              <w:t>II</w:t>
            </w:r>
          </w:p>
        </w:tc>
        <w:tc>
          <w:tcPr>
            <w:tcW w:w="668" w:type="dxa"/>
          </w:tcPr>
          <w:p w:rsidR="007600D1" w:rsidRDefault="007600D1" w:rsidP="001A0856">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3</w:t>
            </w:r>
          </w:p>
        </w:tc>
        <w:tc>
          <w:tcPr>
            <w:tcW w:w="1147" w:type="dxa"/>
          </w:tcPr>
          <w:p w:rsidR="007600D1" w:rsidRPr="00074365" w:rsidRDefault="007600D1" w:rsidP="001A0856">
            <w:pPr>
              <w:widowControl/>
              <w:spacing w:before="0" w:after="0" w:line="240" w:lineRule="auto"/>
              <w:ind w:firstLineChars="0" w:firstLine="0"/>
              <w:jc w:val="both"/>
              <w:rPr>
                <w:rFonts w:ascii="Arial" w:hAnsi="Arial" w:cs="Arial"/>
                <w:color w:val="000000"/>
                <w:sz w:val="21"/>
                <w:szCs w:val="21"/>
              </w:rPr>
            </w:pPr>
            <w:r w:rsidRPr="00074365">
              <w:rPr>
                <w:rFonts w:ascii="Arial" w:hAnsi="Arial" w:cs="Arial"/>
                <w:color w:val="000000"/>
                <w:sz w:val="21"/>
                <w:szCs w:val="21"/>
              </w:rPr>
              <w:t>1673085</w:t>
            </w:r>
          </w:p>
        </w:tc>
        <w:tc>
          <w:tcPr>
            <w:tcW w:w="1462" w:type="dxa"/>
          </w:tcPr>
          <w:p w:rsidR="007600D1" w:rsidRDefault="007600D1" w:rsidP="007D6F9D">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一年级</w:t>
            </w:r>
          </w:p>
        </w:tc>
      </w:tr>
      <w:tr w:rsidR="007600D1" w:rsidRPr="005B3F37" w:rsidTr="00447F33">
        <w:trPr>
          <w:jc w:val="center"/>
        </w:trPr>
        <w:tc>
          <w:tcPr>
            <w:tcW w:w="790" w:type="dxa"/>
            <w:vMerge/>
          </w:tcPr>
          <w:p w:rsidR="007600D1" w:rsidRDefault="007600D1" w:rsidP="002216FA">
            <w:pPr>
              <w:widowControl/>
              <w:spacing w:before="0" w:after="0" w:line="240" w:lineRule="auto"/>
              <w:ind w:firstLineChars="0" w:firstLine="0"/>
              <w:jc w:val="both"/>
              <w:rPr>
                <w:rFonts w:ascii="Cambria" w:hAnsi="Cambria"/>
                <w:bCs/>
                <w:kern w:val="28"/>
                <w:szCs w:val="24"/>
              </w:rPr>
            </w:pPr>
          </w:p>
        </w:tc>
        <w:tc>
          <w:tcPr>
            <w:tcW w:w="1349" w:type="dxa"/>
            <w:vMerge/>
          </w:tcPr>
          <w:p w:rsidR="007600D1" w:rsidRDefault="007600D1" w:rsidP="002216FA">
            <w:pPr>
              <w:widowControl/>
              <w:spacing w:before="0" w:after="0" w:line="240" w:lineRule="auto"/>
              <w:ind w:firstLineChars="0" w:firstLine="0"/>
              <w:jc w:val="both"/>
              <w:rPr>
                <w:rFonts w:ascii="Cambria" w:hAnsi="Cambria"/>
                <w:bCs/>
                <w:kern w:val="28"/>
                <w:szCs w:val="24"/>
              </w:rPr>
            </w:pPr>
          </w:p>
        </w:tc>
        <w:tc>
          <w:tcPr>
            <w:tcW w:w="2115" w:type="dxa"/>
          </w:tcPr>
          <w:p w:rsidR="007600D1" w:rsidRDefault="007600D1" w:rsidP="000A3AFF">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有机化学</w:t>
            </w:r>
            <w:r>
              <w:rPr>
                <w:rFonts w:ascii="Cambria" w:hAnsi="Cambria"/>
                <w:bCs/>
                <w:kern w:val="28"/>
                <w:szCs w:val="24"/>
              </w:rPr>
              <w:t>I</w:t>
            </w:r>
          </w:p>
        </w:tc>
        <w:tc>
          <w:tcPr>
            <w:tcW w:w="668" w:type="dxa"/>
          </w:tcPr>
          <w:p w:rsidR="007600D1" w:rsidRDefault="007600D1" w:rsidP="000A3AFF">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4</w:t>
            </w:r>
          </w:p>
        </w:tc>
        <w:tc>
          <w:tcPr>
            <w:tcW w:w="1147" w:type="dxa"/>
          </w:tcPr>
          <w:p w:rsidR="007600D1" w:rsidRPr="00074365" w:rsidRDefault="007600D1" w:rsidP="000A3AFF">
            <w:pPr>
              <w:widowControl/>
              <w:spacing w:before="0" w:after="0" w:line="240" w:lineRule="auto"/>
              <w:ind w:firstLineChars="0" w:firstLine="0"/>
              <w:jc w:val="both"/>
              <w:rPr>
                <w:rFonts w:ascii="Arial" w:hAnsi="Arial" w:cs="Arial"/>
                <w:color w:val="000000"/>
                <w:sz w:val="21"/>
                <w:szCs w:val="21"/>
              </w:rPr>
            </w:pPr>
            <w:r w:rsidRPr="00074365">
              <w:rPr>
                <w:rFonts w:ascii="Arial" w:hAnsi="Arial" w:cs="Arial"/>
                <w:color w:val="000000"/>
                <w:sz w:val="21"/>
                <w:szCs w:val="21"/>
              </w:rPr>
              <w:t>1671073</w:t>
            </w:r>
          </w:p>
        </w:tc>
        <w:tc>
          <w:tcPr>
            <w:tcW w:w="1462" w:type="dxa"/>
          </w:tcPr>
          <w:p w:rsidR="007600D1" w:rsidRDefault="007600D1" w:rsidP="000A3AFF">
            <w:pPr>
              <w:widowControl/>
              <w:spacing w:before="0" w:after="0" w:line="240" w:lineRule="auto"/>
              <w:ind w:firstLineChars="0" w:firstLine="0"/>
              <w:jc w:val="both"/>
              <w:rPr>
                <w:rFonts w:ascii="Cambria" w:hAnsi="Cambria"/>
                <w:bCs/>
                <w:kern w:val="28"/>
                <w:szCs w:val="24"/>
              </w:rPr>
            </w:pPr>
            <w:r>
              <w:rPr>
                <w:rFonts w:ascii="Cambria" w:hAnsi="Cambria" w:hint="eastAsia"/>
                <w:bCs/>
                <w:kern w:val="28"/>
                <w:szCs w:val="24"/>
              </w:rPr>
              <w:t>一年级</w:t>
            </w:r>
          </w:p>
        </w:tc>
      </w:tr>
    </w:tbl>
    <w:p w:rsidR="0084788A" w:rsidRDefault="0084788A" w:rsidP="0084788A">
      <w:pPr>
        <w:pStyle w:val="a"/>
        <w:numPr>
          <w:ilvl w:val="0"/>
          <w:numId w:val="1"/>
        </w:numPr>
      </w:pPr>
      <w:r w:rsidRPr="0084788A">
        <w:rPr>
          <w:rFonts w:hint="eastAsia"/>
        </w:rPr>
        <w:t>转专业</w:t>
      </w:r>
      <w:r>
        <w:rPr>
          <w:rFonts w:hint="eastAsia"/>
        </w:rPr>
        <w:t>咨询方式</w:t>
      </w:r>
    </w:p>
    <w:p w:rsidR="005B3F37" w:rsidRDefault="005B3F37" w:rsidP="005B3F37">
      <w:pPr>
        <w:ind w:firstLine="480"/>
      </w:pPr>
      <w:r>
        <w:t>成都校区</w:t>
      </w:r>
      <w:r>
        <w:rPr>
          <w:rFonts w:hint="eastAsia"/>
        </w:rPr>
        <w:t>（仅限成都校区本科生）</w:t>
      </w:r>
    </w:p>
    <w:p w:rsidR="003E6E86" w:rsidRDefault="003E6E86" w:rsidP="003E6E86">
      <w:pPr>
        <w:ind w:firstLineChars="183" w:firstLine="439"/>
        <w:rPr>
          <w:szCs w:val="24"/>
        </w:rPr>
      </w:pPr>
      <w:r>
        <w:rPr>
          <w:rFonts w:hint="eastAsia"/>
          <w:szCs w:val="24"/>
        </w:rPr>
        <w:t>咨询地点</w:t>
      </w:r>
      <w:r>
        <w:rPr>
          <w:szCs w:val="24"/>
        </w:rPr>
        <w:t>：</w:t>
      </w:r>
      <w:r>
        <w:rPr>
          <w:rFonts w:hint="eastAsia"/>
          <w:szCs w:val="24"/>
        </w:rPr>
        <w:t>犀浦校区</w:t>
      </w:r>
      <w:r>
        <w:rPr>
          <w:rFonts w:hint="eastAsia"/>
          <w:szCs w:val="24"/>
        </w:rPr>
        <w:t>6501</w:t>
      </w:r>
      <w:r>
        <w:rPr>
          <w:rFonts w:hint="eastAsia"/>
          <w:szCs w:val="24"/>
        </w:rPr>
        <w:t>、</w:t>
      </w:r>
      <w:r>
        <w:rPr>
          <w:rFonts w:hint="eastAsia"/>
          <w:szCs w:val="24"/>
        </w:rPr>
        <w:t>6506</w:t>
      </w:r>
    </w:p>
    <w:p w:rsidR="003E6E86" w:rsidRPr="00DD0079" w:rsidRDefault="003E6E86" w:rsidP="00DD0079">
      <w:pPr>
        <w:ind w:firstLineChars="183" w:firstLine="439"/>
        <w:rPr>
          <w:szCs w:val="24"/>
        </w:rPr>
      </w:pPr>
      <w:r>
        <w:rPr>
          <w:rFonts w:hint="eastAsia"/>
          <w:szCs w:val="24"/>
        </w:rPr>
        <w:t>联系电话</w:t>
      </w:r>
      <w:r>
        <w:rPr>
          <w:szCs w:val="24"/>
        </w:rPr>
        <w:t>：</w:t>
      </w:r>
      <w:r>
        <w:rPr>
          <w:rFonts w:hint="eastAsia"/>
          <w:szCs w:val="24"/>
        </w:rPr>
        <w:t>66363636</w:t>
      </w:r>
      <w:r>
        <w:rPr>
          <w:rFonts w:hint="eastAsia"/>
          <w:szCs w:val="24"/>
        </w:rPr>
        <w:t>，</w:t>
      </w:r>
      <w:r>
        <w:rPr>
          <w:rFonts w:hint="eastAsia"/>
          <w:szCs w:val="24"/>
        </w:rPr>
        <w:t>66367430</w:t>
      </w:r>
    </w:p>
    <w:p w:rsidR="003E6E86" w:rsidRDefault="003E6E86" w:rsidP="003E6E86">
      <w:pPr>
        <w:ind w:firstLineChars="1800" w:firstLine="5421"/>
        <w:rPr>
          <w:rFonts w:ascii="Cambria" w:hAnsi="Cambria"/>
          <w:b/>
          <w:bCs/>
          <w:kern w:val="28"/>
          <w:sz w:val="30"/>
          <w:szCs w:val="32"/>
        </w:rPr>
      </w:pPr>
      <w:r>
        <w:rPr>
          <w:rFonts w:ascii="Cambria" w:hAnsi="Cambria" w:hint="eastAsia"/>
          <w:b/>
          <w:bCs/>
          <w:kern w:val="28"/>
          <w:sz w:val="30"/>
          <w:szCs w:val="32"/>
        </w:rPr>
        <w:t>生命科学与工程学院</w:t>
      </w:r>
    </w:p>
    <w:p w:rsidR="003E6E86" w:rsidRDefault="003E6E86" w:rsidP="003E6E86">
      <w:pPr>
        <w:ind w:firstLineChars="2000" w:firstLine="6023"/>
        <w:rPr>
          <w:rFonts w:ascii="Cambria" w:hAnsi="Cambria"/>
          <w:b/>
          <w:bCs/>
          <w:kern w:val="28"/>
          <w:sz w:val="30"/>
          <w:szCs w:val="32"/>
        </w:rPr>
      </w:pPr>
      <w:r>
        <w:rPr>
          <w:rFonts w:ascii="Cambria" w:hAnsi="Cambria" w:hint="eastAsia"/>
          <w:b/>
          <w:bCs/>
          <w:kern w:val="28"/>
          <w:sz w:val="30"/>
          <w:szCs w:val="32"/>
        </w:rPr>
        <w:t>201</w:t>
      </w:r>
      <w:r w:rsidR="00BE6F5E">
        <w:rPr>
          <w:rFonts w:ascii="Cambria" w:hAnsi="Cambria"/>
          <w:b/>
          <w:bCs/>
          <w:kern w:val="28"/>
          <w:sz w:val="30"/>
          <w:szCs w:val="32"/>
        </w:rPr>
        <w:t>7</w:t>
      </w:r>
      <w:bookmarkStart w:id="1" w:name="_GoBack"/>
      <w:bookmarkEnd w:id="1"/>
      <w:r>
        <w:rPr>
          <w:rFonts w:ascii="Cambria" w:hAnsi="Cambria" w:hint="eastAsia"/>
          <w:b/>
          <w:bCs/>
          <w:kern w:val="28"/>
          <w:sz w:val="30"/>
          <w:szCs w:val="32"/>
        </w:rPr>
        <w:t>年</w:t>
      </w:r>
      <w:r>
        <w:rPr>
          <w:rFonts w:ascii="Cambria" w:hAnsi="Cambria" w:hint="eastAsia"/>
          <w:b/>
          <w:bCs/>
          <w:kern w:val="28"/>
          <w:sz w:val="30"/>
          <w:szCs w:val="32"/>
        </w:rPr>
        <w:t>1</w:t>
      </w:r>
      <w:r w:rsidR="00263E92">
        <w:rPr>
          <w:rFonts w:ascii="Cambria" w:hAnsi="Cambria" w:hint="eastAsia"/>
          <w:b/>
          <w:bCs/>
          <w:kern w:val="28"/>
          <w:sz w:val="30"/>
          <w:szCs w:val="32"/>
        </w:rPr>
        <w:t>2</w:t>
      </w:r>
      <w:r>
        <w:rPr>
          <w:rFonts w:ascii="Cambria" w:hAnsi="Cambria" w:hint="eastAsia"/>
          <w:b/>
          <w:bCs/>
          <w:kern w:val="28"/>
          <w:sz w:val="30"/>
          <w:szCs w:val="32"/>
        </w:rPr>
        <w:t>月</w:t>
      </w:r>
    </w:p>
    <w:p w:rsidR="005B3F37" w:rsidRDefault="005B3F37" w:rsidP="005B3F37">
      <w:pPr>
        <w:ind w:firstLine="480"/>
      </w:pPr>
    </w:p>
    <w:p w:rsidR="005B3F37" w:rsidRPr="00E56FBF" w:rsidRDefault="005B3F37" w:rsidP="005B3F37">
      <w:pPr>
        <w:ind w:firstLine="480"/>
        <w:rPr>
          <w:rFonts w:ascii="Cambria" w:hAnsi="Cambria"/>
          <w:bCs/>
          <w:kern w:val="28"/>
          <w:szCs w:val="24"/>
        </w:rPr>
      </w:pPr>
    </w:p>
    <w:sectPr w:rsidR="005B3F37" w:rsidRPr="00E56FBF" w:rsidSect="0028535D">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1D27" w:rsidRDefault="00E01D27" w:rsidP="003D30C3">
      <w:pPr>
        <w:spacing w:before="0" w:after="0" w:line="240" w:lineRule="auto"/>
        <w:ind w:firstLine="480"/>
      </w:pPr>
      <w:r>
        <w:separator/>
      </w:r>
    </w:p>
  </w:endnote>
  <w:endnote w:type="continuationSeparator" w:id="0">
    <w:p w:rsidR="00E01D27" w:rsidRDefault="00E01D27" w:rsidP="003D30C3">
      <w:pPr>
        <w:spacing w:before="0" w:after="0"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0C3" w:rsidRDefault="003D30C3">
    <w:pPr>
      <w:pStyle w:val="a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0C3" w:rsidRDefault="003D30C3">
    <w:pPr>
      <w:pStyle w:val="a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0C3" w:rsidRDefault="003D30C3">
    <w:pPr>
      <w:pStyle w:val="a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1D27" w:rsidRDefault="00E01D27" w:rsidP="003D30C3">
      <w:pPr>
        <w:spacing w:before="0" w:after="0" w:line="240" w:lineRule="auto"/>
        <w:ind w:firstLine="480"/>
      </w:pPr>
      <w:r>
        <w:separator/>
      </w:r>
    </w:p>
  </w:footnote>
  <w:footnote w:type="continuationSeparator" w:id="0">
    <w:p w:rsidR="00E01D27" w:rsidRDefault="00E01D27" w:rsidP="003D30C3">
      <w:pPr>
        <w:spacing w:before="0" w:after="0"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0C3" w:rsidRDefault="003D30C3">
    <w:pPr>
      <w:pStyle w:val="a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0C3" w:rsidRDefault="003D30C3">
    <w:pPr>
      <w:pStyle w:val="a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0C3" w:rsidRDefault="003D30C3">
    <w:pPr>
      <w:pStyle w:val="a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311B66"/>
    <w:multiLevelType w:val="hybridMultilevel"/>
    <w:tmpl w:val="F648BC6A"/>
    <w:lvl w:ilvl="0" w:tplc="CE7860CC">
      <w:start w:val="1"/>
      <w:numFmt w:val="chineseCountingThousand"/>
      <w:lvlText w:val="%1、"/>
      <w:lvlJc w:val="left"/>
      <w:pPr>
        <w:ind w:left="420" w:hanging="420"/>
      </w:pPr>
      <w:rPr>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B337A72"/>
    <w:multiLevelType w:val="hybridMultilevel"/>
    <w:tmpl w:val="A39E6AC4"/>
    <w:lvl w:ilvl="0" w:tplc="F5042610">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55BF46D7"/>
    <w:multiLevelType w:val="hybridMultilevel"/>
    <w:tmpl w:val="B934948E"/>
    <w:lvl w:ilvl="0" w:tplc="8C8E91CA">
      <w:start w:val="1"/>
      <w:numFmt w:val="chineseCountingThousand"/>
      <w:pStyle w:val="a"/>
      <w:lvlText w:val="%1、"/>
      <w:lvlJc w:val="left"/>
      <w:pPr>
        <w:ind w:left="420" w:hanging="420"/>
      </w:pPr>
      <w:rPr>
        <w:rFonts w:cs="Times New Roman"/>
        <w:b/>
        <w:bCs w:val="0"/>
        <w:i w:val="0"/>
        <w:iCs w:val="0"/>
        <w:caps w:val="0"/>
        <w:smallCaps w:val="0"/>
        <w:strike w:val="0"/>
        <w:dstrike w:val="0"/>
        <w:noProof w:val="0"/>
        <w:vanish w:val="0"/>
        <w:spacing w:val="0"/>
        <w:position w:val="0"/>
        <w:u w:val="none"/>
        <w:vertAlign w:val="baseline"/>
        <w:em w:val="no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03943"/>
    <w:rsid w:val="00074365"/>
    <w:rsid w:val="00076505"/>
    <w:rsid w:val="000D726B"/>
    <w:rsid w:val="000E42A6"/>
    <w:rsid w:val="001E2008"/>
    <w:rsid w:val="00263E92"/>
    <w:rsid w:val="0028535D"/>
    <w:rsid w:val="002A0244"/>
    <w:rsid w:val="002D0055"/>
    <w:rsid w:val="002E49D1"/>
    <w:rsid w:val="00344984"/>
    <w:rsid w:val="00365BAD"/>
    <w:rsid w:val="0039136C"/>
    <w:rsid w:val="003D30C3"/>
    <w:rsid w:val="003E6E86"/>
    <w:rsid w:val="004735AD"/>
    <w:rsid w:val="0048078D"/>
    <w:rsid w:val="00497408"/>
    <w:rsid w:val="004D4070"/>
    <w:rsid w:val="004D7708"/>
    <w:rsid w:val="00545554"/>
    <w:rsid w:val="00550DD3"/>
    <w:rsid w:val="00597F1A"/>
    <w:rsid w:val="005B3F37"/>
    <w:rsid w:val="005B4DAF"/>
    <w:rsid w:val="006725B5"/>
    <w:rsid w:val="0069139E"/>
    <w:rsid w:val="00692DCE"/>
    <w:rsid w:val="007600D1"/>
    <w:rsid w:val="00776A49"/>
    <w:rsid w:val="007A1143"/>
    <w:rsid w:val="007D6F9D"/>
    <w:rsid w:val="00842425"/>
    <w:rsid w:val="0084788A"/>
    <w:rsid w:val="008E4C6E"/>
    <w:rsid w:val="00947ABF"/>
    <w:rsid w:val="00975A82"/>
    <w:rsid w:val="009D1789"/>
    <w:rsid w:val="00A21CEF"/>
    <w:rsid w:val="00B06FF2"/>
    <w:rsid w:val="00B262E7"/>
    <w:rsid w:val="00B3611D"/>
    <w:rsid w:val="00B43EDF"/>
    <w:rsid w:val="00BD123E"/>
    <w:rsid w:val="00BD454B"/>
    <w:rsid w:val="00BE6F5E"/>
    <w:rsid w:val="00CE66DC"/>
    <w:rsid w:val="00CF5AE5"/>
    <w:rsid w:val="00D255B9"/>
    <w:rsid w:val="00D26F63"/>
    <w:rsid w:val="00D32E5E"/>
    <w:rsid w:val="00DD0079"/>
    <w:rsid w:val="00E01D27"/>
    <w:rsid w:val="00E03943"/>
    <w:rsid w:val="00E56FBF"/>
    <w:rsid w:val="00E74FF2"/>
    <w:rsid w:val="00E9752E"/>
    <w:rsid w:val="00EE21F2"/>
    <w:rsid w:val="00F57B1A"/>
    <w:rsid w:val="00F65907"/>
    <w:rsid w:val="00F94DA3"/>
    <w:rsid w:val="00FC68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4409DCD-2266-4A9A-81BD-2712E07B7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03943"/>
    <w:pPr>
      <w:widowControl w:val="0"/>
      <w:spacing w:before="120" w:after="40" w:line="360" w:lineRule="auto"/>
      <w:ind w:firstLineChars="200" w:firstLine="200"/>
    </w:pPr>
    <w:rPr>
      <w:rFonts w:ascii="Calibri" w:eastAsia="宋体" w:hAnsi="Calibri" w:cs="Times New Roman"/>
      <w:sz w:val="24"/>
    </w:rPr>
  </w:style>
  <w:style w:type="paragraph" w:styleId="1">
    <w:name w:val="heading 1"/>
    <w:basedOn w:val="a0"/>
    <w:next w:val="a0"/>
    <w:link w:val="1Char"/>
    <w:qFormat/>
    <w:rsid w:val="00E03943"/>
    <w:pPr>
      <w:keepNext/>
      <w:keepLines/>
      <w:spacing w:before="340" w:after="330" w:line="578" w:lineRule="auto"/>
      <w:outlineLvl w:val="0"/>
    </w:pPr>
    <w:rPr>
      <w:b/>
      <w:bCs/>
      <w:kern w:val="44"/>
      <w:sz w:val="32"/>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E03943"/>
    <w:rPr>
      <w:rFonts w:ascii="Calibri" w:eastAsia="宋体" w:hAnsi="Calibri" w:cs="Times New Roman"/>
      <w:b/>
      <w:bCs/>
      <w:kern w:val="44"/>
      <w:sz w:val="32"/>
      <w:szCs w:val="44"/>
    </w:rPr>
  </w:style>
  <w:style w:type="paragraph" w:styleId="a">
    <w:name w:val="Subtitle"/>
    <w:basedOn w:val="a0"/>
    <w:next w:val="a0"/>
    <w:link w:val="Char"/>
    <w:uiPriority w:val="11"/>
    <w:qFormat/>
    <w:rsid w:val="00E03943"/>
    <w:pPr>
      <w:numPr>
        <w:numId w:val="2"/>
      </w:numPr>
      <w:spacing w:line="312" w:lineRule="auto"/>
      <w:ind w:firstLineChars="0" w:firstLine="0"/>
      <w:outlineLvl w:val="1"/>
    </w:pPr>
    <w:rPr>
      <w:rFonts w:ascii="Cambria" w:hAnsi="Cambria"/>
      <w:b/>
      <w:bCs/>
      <w:kern w:val="28"/>
      <w:sz w:val="30"/>
      <w:szCs w:val="32"/>
    </w:rPr>
  </w:style>
  <w:style w:type="character" w:customStyle="1" w:styleId="Char">
    <w:name w:val="副标题 Char"/>
    <w:basedOn w:val="a1"/>
    <w:link w:val="a"/>
    <w:uiPriority w:val="11"/>
    <w:rsid w:val="00E03943"/>
    <w:rPr>
      <w:rFonts w:ascii="Cambria" w:eastAsia="宋体" w:hAnsi="Cambria" w:cs="Times New Roman"/>
      <w:b/>
      <w:bCs/>
      <w:kern w:val="28"/>
      <w:sz w:val="30"/>
      <w:szCs w:val="32"/>
    </w:rPr>
  </w:style>
  <w:style w:type="paragraph" w:styleId="a4">
    <w:name w:val="header"/>
    <w:basedOn w:val="a0"/>
    <w:link w:val="Char0"/>
    <w:uiPriority w:val="99"/>
    <w:unhideWhenUsed/>
    <w:rsid w:val="003D30C3"/>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1"/>
    <w:link w:val="a4"/>
    <w:uiPriority w:val="99"/>
    <w:rsid w:val="003D30C3"/>
    <w:rPr>
      <w:rFonts w:ascii="Calibri" w:eastAsia="宋体" w:hAnsi="Calibri" w:cs="Times New Roman"/>
      <w:sz w:val="18"/>
      <w:szCs w:val="18"/>
    </w:rPr>
  </w:style>
  <w:style w:type="paragraph" w:styleId="a5">
    <w:name w:val="footer"/>
    <w:basedOn w:val="a0"/>
    <w:link w:val="Char1"/>
    <w:uiPriority w:val="99"/>
    <w:unhideWhenUsed/>
    <w:rsid w:val="003D30C3"/>
    <w:pPr>
      <w:tabs>
        <w:tab w:val="center" w:pos="4153"/>
        <w:tab w:val="right" w:pos="8306"/>
      </w:tabs>
      <w:snapToGrid w:val="0"/>
      <w:spacing w:line="240" w:lineRule="auto"/>
    </w:pPr>
    <w:rPr>
      <w:sz w:val="18"/>
      <w:szCs w:val="18"/>
    </w:rPr>
  </w:style>
  <w:style w:type="character" w:customStyle="1" w:styleId="Char1">
    <w:name w:val="页脚 Char"/>
    <w:basedOn w:val="a1"/>
    <w:link w:val="a5"/>
    <w:uiPriority w:val="99"/>
    <w:rsid w:val="003D30C3"/>
    <w:rPr>
      <w:rFonts w:ascii="Calibri" w:eastAsia="宋体" w:hAnsi="Calibri" w:cs="Times New Roman"/>
      <w:sz w:val="18"/>
      <w:szCs w:val="18"/>
    </w:rPr>
  </w:style>
  <w:style w:type="paragraph" w:styleId="a6">
    <w:name w:val="List Paragraph"/>
    <w:basedOn w:val="a0"/>
    <w:uiPriority w:val="34"/>
    <w:qFormat/>
    <w:rsid w:val="0084788A"/>
    <w:pPr>
      <w:ind w:firstLine="420"/>
    </w:pPr>
  </w:style>
  <w:style w:type="table" w:styleId="a7">
    <w:name w:val="Table Grid"/>
    <w:basedOn w:val="a2"/>
    <w:uiPriority w:val="39"/>
    <w:rsid w:val="008478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列出段落1"/>
    <w:basedOn w:val="a0"/>
    <w:uiPriority w:val="99"/>
    <w:qFormat/>
    <w:rsid w:val="003E6E86"/>
    <w:pPr>
      <w:spacing w:before="0" w:after="0" w:line="240" w:lineRule="auto"/>
      <w:ind w:firstLine="420"/>
      <w:jc w:val="both"/>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4</Pages>
  <Words>307</Words>
  <Characters>1754</Characters>
  <Application>Microsoft Office Word</Application>
  <DocSecurity>0</DocSecurity>
  <Lines>14</Lines>
  <Paragraphs>4</Paragraphs>
  <ScaleCrop>false</ScaleCrop>
  <Company>Lenovo</Company>
  <LinksUpToDate>false</LinksUpToDate>
  <CharactersWithSpaces>2057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陈洪章</dc:creator>
  <cp:lastModifiedBy>Albert</cp:lastModifiedBy>
  <cp:revision>13</cp:revision>
  <dcterms:created xsi:type="dcterms:W3CDTF">2016-11-24T02:50:00Z</dcterms:created>
  <dcterms:modified xsi:type="dcterms:W3CDTF">2017-12-22T08:36:00Z</dcterms:modified>
</cp:coreProperties>
</file>